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F4BAE" w:rsidRDefault="004F4BAE" w:rsidP="004F4BAE">
      <w:pPr>
        <w:pStyle w:val="Ttulo1"/>
        <w:rPr>
          <w:lang w:val="es-ES"/>
        </w:rPr>
      </w:pPr>
      <w:r>
        <w:rPr>
          <w:lang w:val="es-ES"/>
        </w:rPr>
        <w:t>Novedades para la preparación y presentación de información exógena tributaria del año gravable 2025</w:t>
      </w:r>
    </w:p>
    <w:p w:rsidR="004F4BAE" w:rsidRPr="00B671E9" w:rsidRDefault="00B671E9" w:rsidP="00B671E9">
      <w:pPr>
        <w:rPr>
          <w:color w:val="FF0000"/>
          <w:lang w:val="es-ES"/>
        </w:rPr>
      </w:pPr>
      <w:r w:rsidRPr="00B671E9">
        <w:rPr>
          <w:color w:val="FF0000"/>
          <w:lang w:val="es-ES"/>
        </w:rPr>
        <w:t>(fecha de elaboración: noviembre 3 de 2025)</w:t>
      </w:r>
    </w:p>
    <w:p w:rsidR="004F4BAE" w:rsidRPr="00611FF9" w:rsidRDefault="004F4BAE" w:rsidP="004F4BAE">
      <w:pPr>
        <w:jc w:val="both"/>
        <w:rPr>
          <w:sz w:val="18"/>
          <w:szCs w:val="18"/>
          <w:lang w:val="es-ES"/>
        </w:rPr>
      </w:pPr>
      <w:r>
        <w:rPr>
          <w:sz w:val="18"/>
          <w:szCs w:val="18"/>
          <w:lang w:val="es-ES"/>
        </w:rPr>
        <w:t>De acuerdo con el texto que quedó recopilado en el título 3 de la Resolución Unificada DIAN 227 de septiembre 23 de 2025 (el cual abarca los artículos 1.3.1.1 hasta 1.3.12.</w:t>
      </w:r>
      <w:r w:rsidR="00D93109">
        <w:rPr>
          <w:sz w:val="18"/>
          <w:szCs w:val="18"/>
          <w:lang w:val="es-ES"/>
        </w:rPr>
        <w:t>21</w:t>
      </w:r>
      <w:r>
        <w:rPr>
          <w:sz w:val="18"/>
          <w:szCs w:val="18"/>
          <w:lang w:val="es-ES"/>
        </w:rPr>
        <w:t xml:space="preserve"> y con el cual se re</w:t>
      </w:r>
      <w:r w:rsidR="00521F5D">
        <w:rPr>
          <w:sz w:val="18"/>
          <w:szCs w:val="18"/>
          <w:lang w:val="es-ES"/>
        </w:rPr>
        <w:t>c</w:t>
      </w:r>
      <w:r>
        <w:rPr>
          <w:sz w:val="18"/>
          <w:szCs w:val="18"/>
          <w:lang w:val="es-ES"/>
        </w:rPr>
        <w:t xml:space="preserve">opilaron los textos de las </w:t>
      </w:r>
      <w:r w:rsidR="00521F5D">
        <w:rPr>
          <w:sz w:val="18"/>
          <w:szCs w:val="18"/>
          <w:lang w:val="es-ES"/>
        </w:rPr>
        <w:t>R</w:t>
      </w:r>
      <w:r>
        <w:rPr>
          <w:sz w:val="18"/>
          <w:szCs w:val="18"/>
          <w:lang w:val="es-ES"/>
        </w:rPr>
        <w:t>esoluciones 162 de octubre de 2023, 188 de octubre de 2024</w:t>
      </w:r>
      <w:r w:rsidR="00521F5D">
        <w:rPr>
          <w:sz w:val="18"/>
          <w:szCs w:val="18"/>
          <w:lang w:val="es-ES"/>
        </w:rPr>
        <w:t>, 208 de abril de 2025, 213 de mayo de 2025</w:t>
      </w:r>
      <w:r>
        <w:rPr>
          <w:sz w:val="18"/>
          <w:szCs w:val="18"/>
          <w:lang w:val="es-ES"/>
        </w:rPr>
        <w:t xml:space="preserve"> y 233 de octubre de 2025), </w:t>
      </w:r>
      <w:r w:rsidRPr="00611FF9">
        <w:rPr>
          <w:sz w:val="18"/>
          <w:szCs w:val="18"/>
          <w:lang w:val="es-ES"/>
        </w:rPr>
        <w:t xml:space="preserve">a continuación destacamos las más importantes novedades que </w:t>
      </w:r>
      <w:r>
        <w:rPr>
          <w:sz w:val="18"/>
          <w:szCs w:val="18"/>
          <w:lang w:val="es-ES"/>
        </w:rPr>
        <w:t xml:space="preserve">aplicarían a la solicitud de información </w:t>
      </w:r>
      <w:r w:rsidRPr="00611FF9">
        <w:rPr>
          <w:sz w:val="18"/>
          <w:szCs w:val="18"/>
          <w:lang w:val="es-ES"/>
        </w:rPr>
        <w:t>exógena tributaria del año gravable 202</w:t>
      </w:r>
      <w:r>
        <w:rPr>
          <w:sz w:val="18"/>
          <w:szCs w:val="18"/>
          <w:lang w:val="es-ES"/>
        </w:rPr>
        <w:t>5</w:t>
      </w:r>
      <w:r w:rsidRPr="00611FF9">
        <w:rPr>
          <w:sz w:val="18"/>
          <w:szCs w:val="18"/>
          <w:lang w:val="es-ES"/>
        </w:rPr>
        <w:t xml:space="preserve"> </w:t>
      </w:r>
    </w:p>
    <w:p w:rsidR="004F4BAE" w:rsidRPr="00611FF9" w:rsidRDefault="004F4BAE" w:rsidP="004F4BAE">
      <w:pPr>
        <w:jc w:val="both"/>
        <w:rPr>
          <w:sz w:val="18"/>
          <w:szCs w:val="18"/>
          <w:lang w:val="es-ES"/>
        </w:rPr>
      </w:pPr>
    </w:p>
    <w:p w:rsidR="004F4BAE" w:rsidRPr="00611FF9" w:rsidRDefault="004F4BAE" w:rsidP="004F4BAE">
      <w:pPr>
        <w:pStyle w:val="Prrafodelista"/>
        <w:jc w:val="both"/>
        <w:rPr>
          <w:sz w:val="18"/>
          <w:szCs w:val="18"/>
          <w:lang w:val="es-ES"/>
        </w:rPr>
      </w:pPr>
    </w:p>
    <w:p w:rsidR="004F4BAE" w:rsidRPr="00343767" w:rsidRDefault="004F4BAE" w:rsidP="004F4BAE">
      <w:pPr>
        <w:pStyle w:val="Prrafodelista"/>
        <w:numPr>
          <w:ilvl w:val="0"/>
          <w:numId w:val="1"/>
        </w:numPr>
        <w:contextualSpacing/>
        <w:jc w:val="both"/>
        <w:rPr>
          <w:rFonts w:ascii="Cambria" w:hAnsi="Cambria"/>
          <w:sz w:val="18"/>
          <w:szCs w:val="18"/>
        </w:rPr>
      </w:pPr>
      <w:r>
        <w:rPr>
          <w:rFonts w:ascii="Cambria" w:hAnsi="Cambria"/>
          <w:sz w:val="18"/>
          <w:szCs w:val="18"/>
        </w:rPr>
        <w:t xml:space="preserve">De acuerdo con </w:t>
      </w:r>
      <w:r w:rsidRPr="00343767">
        <w:rPr>
          <w:rFonts w:ascii="Cambria" w:hAnsi="Cambria"/>
          <w:sz w:val="18"/>
          <w:szCs w:val="18"/>
        </w:rPr>
        <w:t xml:space="preserve">el numeral 19 </w:t>
      </w:r>
      <w:r w:rsidR="006D4CC9">
        <w:rPr>
          <w:rFonts w:ascii="Cambria" w:hAnsi="Cambria"/>
          <w:sz w:val="18"/>
          <w:szCs w:val="18"/>
        </w:rPr>
        <w:t>de</w:t>
      </w:r>
      <w:r w:rsidRPr="00343767">
        <w:rPr>
          <w:rFonts w:ascii="Cambria" w:hAnsi="Cambria"/>
          <w:sz w:val="18"/>
          <w:szCs w:val="18"/>
        </w:rPr>
        <w:t>l artículo 1</w:t>
      </w:r>
      <w:r>
        <w:rPr>
          <w:rFonts w:ascii="Cambria" w:hAnsi="Cambria"/>
          <w:sz w:val="18"/>
          <w:szCs w:val="18"/>
        </w:rPr>
        <w:t>.3.1.1.</w:t>
      </w:r>
      <w:r w:rsidRPr="00343767">
        <w:rPr>
          <w:rFonts w:ascii="Cambria" w:hAnsi="Cambria"/>
          <w:sz w:val="18"/>
          <w:szCs w:val="18"/>
        </w:rPr>
        <w:t xml:space="preserve">, </w:t>
      </w:r>
      <w:r w:rsidR="00521F5D">
        <w:rPr>
          <w:rFonts w:ascii="Cambria" w:hAnsi="Cambria"/>
          <w:sz w:val="18"/>
          <w:szCs w:val="18"/>
        </w:rPr>
        <w:t>los parágrafos 3 a 6 d</w:t>
      </w:r>
      <w:r w:rsidRPr="00343767">
        <w:rPr>
          <w:rFonts w:ascii="Cambria" w:hAnsi="Cambria"/>
          <w:sz w:val="18"/>
          <w:szCs w:val="18"/>
        </w:rPr>
        <w:t xml:space="preserve">el artículo </w:t>
      </w:r>
      <w:r w:rsidR="00521F5D">
        <w:rPr>
          <w:rFonts w:ascii="Cambria" w:hAnsi="Cambria"/>
          <w:sz w:val="18"/>
          <w:szCs w:val="18"/>
        </w:rPr>
        <w:t>1.3.9.1.3</w:t>
      </w:r>
      <w:r w:rsidRPr="00343767">
        <w:rPr>
          <w:rFonts w:ascii="Cambria" w:hAnsi="Cambria"/>
          <w:sz w:val="18"/>
          <w:szCs w:val="18"/>
        </w:rPr>
        <w:t xml:space="preserve"> y el artículo </w:t>
      </w:r>
      <w:r w:rsidR="00521F5D">
        <w:rPr>
          <w:rFonts w:ascii="Cambria" w:hAnsi="Cambria"/>
          <w:sz w:val="18"/>
          <w:szCs w:val="18"/>
        </w:rPr>
        <w:t>1.3.12.6</w:t>
      </w:r>
      <w:r w:rsidRPr="00343767">
        <w:rPr>
          <w:rFonts w:ascii="Cambria" w:hAnsi="Cambria"/>
          <w:sz w:val="18"/>
          <w:szCs w:val="18"/>
        </w:rPr>
        <w:t xml:space="preserve"> a la Resolución </w:t>
      </w:r>
      <w:r w:rsidR="00521F5D">
        <w:rPr>
          <w:rFonts w:ascii="Cambria" w:hAnsi="Cambria"/>
          <w:sz w:val="18"/>
          <w:szCs w:val="18"/>
        </w:rPr>
        <w:t>227 de septiembre de 2025,</w:t>
      </w:r>
      <w:r w:rsidRPr="00343767">
        <w:rPr>
          <w:rFonts w:ascii="Cambria" w:hAnsi="Cambria"/>
          <w:sz w:val="18"/>
          <w:szCs w:val="18"/>
        </w:rPr>
        <w:t xml:space="preserve"> a partir de los reportes del año gravable 2025 se exigirán dos nuevos reportes en los formatos 2820 v.1 y 2833 v.1 los cuales estarán a cargo de los siguientes </w:t>
      </w:r>
      <w:proofErr w:type="spellStart"/>
      <w:r w:rsidRPr="00343767">
        <w:rPr>
          <w:rFonts w:ascii="Cambria" w:hAnsi="Cambria"/>
          <w:sz w:val="18"/>
          <w:szCs w:val="18"/>
        </w:rPr>
        <w:t>reportantes</w:t>
      </w:r>
      <w:proofErr w:type="spellEnd"/>
      <w:r w:rsidRPr="00343767">
        <w:rPr>
          <w:rFonts w:ascii="Cambria" w:hAnsi="Cambria"/>
          <w:sz w:val="18"/>
          <w:szCs w:val="18"/>
        </w:rPr>
        <w:t>:</w:t>
      </w:r>
    </w:p>
    <w:p w:rsidR="004F4BAE" w:rsidRPr="00343767" w:rsidRDefault="004F4BAE" w:rsidP="004F4BAE">
      <w:pPr>
        <w:pStyle w:val="Prrafodelista"/>
        <w:jc w:val="both"/>
        <w:rPr>
          <w:rFonts w:ascii="Cambria" w:hAnsi="Cambria"/>
          <w:sz w:val="18"/>
          <w:szCs w:val="18"/>
        </w:rPr>
      </w:pPr>
    </w:p>
    <w:p w:rsidR="004F4BAE" w:rsidRPr="00343767" w:rsidRDefault="004F4BAE" w:rsidP="004F4BAE">
      <w:pPr>
        <w:pStyle w:val="Prrafodelista"/>
        <w:numPr>
          <w:ilvl w:val="0"/>
          <w:numId w:val="4"/>
        </w:numPr>
        <w:tabs>
          <w:tab w:val="left" w:pos="851"/>
        </w:tabs>
        <w:contextualSpacing/>
        <w:jc w:val="both"/>
        <w:rPr>
          <w:rFonts w:ascii="Cambria" w:hAnsi="Cambria"/>
          <w:sz w:val="18"/>
          <w:szCs w:val="18"/>
        </w:rPr>
      </w:pPr>
      <w:r w:rsidRPr="00343767">
        <w:rPr>
          <w:rFonts w:ascii="Cambria" w:hAnsi="Cambria"/>
          <w:sz w:val="18"/>
          <w:szCs w:val="18"/>
        </w:rPr>
        <w:t xml:space="preserve">Todas las personas jurídicas sociedades comerciales, empresas comunitarias y cooperativas, sin importar el monto de sus ingresos brutos fiscales del año gravable </w:t>
      </w:r>
      <w:r>
        <w:rPr>
          <w:rFonts w:ascii="Cambria" w:hAnsi="Cambria"/>
          <w:sz w:val="18"/>
          <w:szCs w:val="18"/>
        </w:rPr>
        <w:t>2024</w:t>
      </w:r>
      <w:r w:rsidRPr="00343767">
        <w:rPr>
          <w:rFonts w:ascii="Cambria" w:hAnsi="Cambria"/>
          <w:sz w:val="18"/>
          <w:szCs w:val="18"/>
        </w:rPr>
        <w:t xml:space="preserve"> o del año gravable </w:t>
      </w:r>
      <w:r>
        <w:rPr>
          <w:rFonts w:ascii="Cambria" w:hAnsi="Cambria"/>
          <w:sz w:val="18"/>
          <w:szCs w:val="18"/>
        </w:rPr>
        <w:t>2025</w:t>
      </w:r>
      <w:r w:rsidRPr="00343767">
        <w:rPr>
          <w:rFonts w:ascii="Cambria" w:hAnsi="Cambria"/>
          <w:sz w:val="18"/>
          <w:szCs w:val="18"/>
        </w:rPr>
        <w:t>, siempre que suceda que se trate de entidades que no cotizan en bolsa y cuyos socios, o accionistas, o asociados, o cooperados, o comuneros hayan efectuado enajenaciones (a título oneroso o gratuito) de sus acciones, o cuotas o aportes durante el año. En este caso se deberá elaborar</w:t>
      </w:r>
      <w:r>
        <w:rPr>
          <w:rFonts w:ascii="Cambria" w:hAnsi="Cambria"/>
          <w:sz w:val="18"/>
          <w:szCs w:val="18"/>
        </w:rPr>
        <w:t xml:space="preserve"> por primera vez,</w:t>
      </w:r>
      <w:r w:rsidRPr="00343767">
        <w:rPr>
          <w:rFonts w:ascii="Cambria" w:hAnsi="Cambria"/>
          <w:sz w:val="18"/>
          <w:szCs w:val="18"/>
        </w:rPr>
        <w:t xml:space="preserve"> total o parcialmente</w:t>
      </w:r>
      <w:r>
        <w:rPr>
          <w:rFonts w:ascii="Cambria" w:hAnsi="Cambria"/>
          <w:sz w:val="18"/>
          <w:szCs w:val="18"/>
        </w:rPr>
        <w:t>,</w:t>
      </w:r>
      <w:r w:rsidRPr="00343767">
        <w:rPr>
          <w:rFonts w:ascii="Cambria" w:hAnsi="Cambria"/>
          <w:sz w:val="18"/>
          <w:szCs w:val="18"/>
        </w:rPr>
        <w:t xml:space="preserve"> el </w:t>
      </w:r>
      <w:r>
        <w:rPr>
          <w:rFonts w:ascii="Cambria" w:hAnsi="Cambria"/>
          <w:sz w:val="18"/>
          <w:szCs w:val="18"/>
        </w:rPr>
        <w:t xml:space="preserve">nuevo </w:t>
      </w:r>
      <w:r w:rsidRPr="00343767">
        <w:rPr>
          <w:rFonts w:ascii="Cambria" w:hAnsi="Cambria"/>
          <w:sz w:val="18"/>
          <w:szCs w:val="18"/>
        </w:rPr>
        <w:t>formato 2820 v.1 indicando si el socio suministró o no todos los datos que solicita el formato (el cual solicita incluso hasta la forma de enajenación o pago).</w:t>
      </w:r>
    </w:p>
    <w:p w:rsidR="004F4BAE" w:rsidRPr="00343767" w:rsidRDefault="004F4BAE" w:rsidP="004F4BAE">
      <w:pPr>
        <w:pStyle w:val="Prrafodelista"/>
        <w:tabs>
          <w:tab w:val="left" w:pos="851"/>
        </w:tabs>
        <w:ind w:left="1069"/>
        <w:jc w:val="both"/>
        <w:rPr>
          <w:rFonts w:ascii="Cambria" w:hAnsi="Cambria"/>
          <w:sz w:val="18"/>
          <w:szCs w:val="18"/>
        </w:rPr>
      </w:pPr>
    </w:p>
    <w:p w:rsidR="004F4BAE" w:rsidRPr="00343767" w:rsidRDefault="004F4BAE" w:rsidP="004F4BAE">
      <w:pPr>
        <w:pStyle w:val="Prrafodelista"/>
        <w:numPr>
          <w:ilvl w:val="0"/>
          <w:numId w:val="4"/>
        </w:numPr>
        <w:tabs>
          <w:tab w:val="left" w:pos="851"/>
        </w:tabs>
        <w:contextualSpacing/>
        <w:jc w:val="both"/>
        <w:rPr>
          <w:rFonts w:ascii="Cambria" w:hAnsi="Cambria"/>
          <w:sz w:val="18"/>
          <w:szCs w:val="18"/>
        </w:rPr>
      </w:pPr>
      <w:r w:rsidRPr="00343767">
        <w:rPr>
          <w:rFonts w:ascii="Cambria" w:hAnsi="Cambria"/>
          <w:sz w:val="18"/>
          <w:szCs w:val="18"/>
        </w:rPr>
        <w:t>En caso de que alguno de los socios, o accionistas, o asociados, o cooperados o comuneros no le suministren a la persona jurídica (antes de febrero 28 o 29 del año siguiente a la enajenación) todos los datos del formato 2820 v.1 con los cuales se llevó a cabo la enajenación de sus acciones, o cuotas sociales o aportes, y suceda adicionalmente que las enajenaciones que hizo superan de forma individual o acumulada un monto de 5.000 UVT (unos $249.000.000 aproximadamente en el año gravable 2025), entonces dichos socios, o accionistas, o asociados, o cooperados o comuneros deberán elaborar y entregar el formato 2833 v.1</w:t>
      </w:r>
    </w:p>
    <w:p w:rsidR="004F4BAE" w:rsidRPr="00343767" w:rsidRDefault="004F4BAE" w:rsidP="004F4BAE">
      <w:pPr>
        <w:pStyle w:val="Prrafodelista"/>
        <w:jc w:val="both"/>
        <w:rPr>
          <w:rFonts w:ascii="Cambria" w:hAnsi="Cambria"/>
          <w:sz w:val="18"/>
          <w:szCs w:val="18"/>
        </w:rPr>
      </w:pPr>
    </w:p>
    <w:p w:rsidR="004F4BAE" w:rsidRPr="00214907" w:rsidRDefault="00860D45" w:rsidP="004F4BAE">
      <w:pPr>
        <w:pStyle w:val="Prrafodelista"/>
        <w:numPr>
          <w:ilvl w:val="0"/>
          <w:numId w:val="1"/>
        </w:numPr>
        <w:tabs>
          <w:tab w:val="left" w:pos="851"/>
        </w:tabs>
        <w:contextualSpacing/>
        <w:jc w:val="both"/>
        <w:rPr>
          <w:rFonts w:ascii="Cambria" w:hAnsi="Cambria"/>
          <w:i/>
          <w:iCs/>
          <w:color w:val="0070C0"/>
          <w:sz w:val="18"/>
          <w:szCs w:val="18"/>
        </w:rPr>
      </w:pPr>
      <w:r>
        <w:rPr>
          <w:rFonts w:ascii="Cambria" w:hAnsi="Cambria"/>
          <w:sz w:val="18"/>
          <w:szCs w:val="18"/>
        </w:rPr>
        <w:t>De acuerdo con el</w:t>
      </w:r>
      <w:r w:rsidR="004F4BAE" w:rsidRPr="00343767">
        <w:rPr>
          <w:rFonts w:ascii="Cambria" w:hAnsi="Cambria"/>
          <w:sz w:val="18"/>
          <w:szCs w:val="18"/>
        </w:rPr>
        <w:t xml:space="preserve"> artículo </w:t>
      </w:r>
      <w:r w:rsidR="00D93109">
        <w:rPr>
          <w:rFonts w:ascii="Cambria" w:hAnsi="Cambria"/>
          <w:sz w:val="18"/>
          <w:szCs w:val="18"/>
        </w:rPr>
        <w:t>1.3.5.2.1</w:t>
      </w:r>
      <w:r w:rsidR="004F4BAE" w:rsidRPr="00343767">
        <w:rPr>
          <w:rFonts w:ascii="Cambria" w:hAnsi="Cambria"/>
          <w:sz w:val="18"/>
          <w:szCs w:val="18"/>
        </w:rPr>
        <w:t xml:space="preserve"> de la Resolución </w:t>
      </w:r>
      <w:r w:rsidR="00D93109">
        <w:rPr>
          <w:rFonts w:ascii="Cambria" w:hAnsi="Cambria"/>
          <w:sz w:val="18"/>
          <w:szCs w:val="18"/>
        </w:rPr>
        <w:t>227</w:t>
      </w:r>
      <w:r w:rsidR="004F4BAE" w:rsidRPr="00343767">
        <w:rPr>
          <w:rFonts w:ascii="Cambria" w:hAnsi="Cambria"/>
          <w:sz w:val="18"/>
          <w:szCs w:val="18"/>
        </w:rPr>
        <w:t xml:space="preserve"> de </w:t>
      </w:r>
      <w:r w:rsidR="00D93109">
        <w:rPr>
          <w:rFonts w:ascii="Cambria" w:hAnsi="Cambria"/>
          <w:sz w:val="18"/>
          <w:szCs w:val="18"/>
        </w:rPr>
        <w:t>septiembre</w:t>
      </w:r>
      <w:r w:rsidR="004F4BAE" w:rsidRPr="00343767">
        <w:rPr>
          <w:rFonts w:ascii="Cambria" w:hAnsi="Cambria"/>
          <w:sz w:val="18"/>
          <w:szCs w:val="18"/>
        </w:rPr>
        <w:t xml:space="preserve"> de 202</w:t>
      </w:r>
      <w:r w:rsidR="00D93109">
        <w:rPr>
          <w:rFonts w:ascii="Cambria" w:hAnsi="Cambria"/>
          <w:sz w:val="18"/>
          <w:szCs w:val="18"/>
        </w:rPr>
        <w:t>5 (</w:t>
      </w:r>
      <w:r w:rsidR="004F4BAE" w:rsidRPr="00343767">
        <w:rPr>
          <w:rFonts w:ascii="Cambria" w:hAnsi="Cambria"/>
          <w:sz w:val="18"/>
          <w:szCs w:val="18"/>
        </w:rPr>
        <w:t>el cual contiene las instrucciones para elaborar el formato 1001 v.10 por concepto de pagos y/o abonos en cuenta a terceros junto con su respectivas retenciones a título de renta, IVA o timbre</w:t>
      </w:r>
      <w:r w:rsidR="00D93109">
        <w:rPr>
          <w:rFonts w:ascii="Cambria" w:hAnsi="Cambria"/>
          <w:sz w:val="18"/>
          <w:szCs w:val="18"/>
        </w:rPr>
        <w:t xml:space="preserve">), y el parágrafo 5 del artículo 1.3.9.1.3 de la misma Resolución 227 de septiembre de 2025, </w:t>
      </w:r>
      <w:r w:rsidR="004F4BAE" w:rsidRPr="00343767">
        <w:rPr>
          <w:rFonts w:ascii="Cambria" w:hAnsi="Cambria"/>
          <w:sz w:val="18"/>
          <w:szCs w:val="18"/>
        </w:rPr>
        <w:t>a partir de los reportes del año gravable 2025 se deberán tomar en cuenta l</w:t>
      </w:r>
      <w:r w:rsidR="004F4BAE">
        <w:rPr>
          <w:rFonts w:ascii="Cambria" w:hAnsi="Cambria"/>
          <w:sz w:val="18"/>
          <w:szCs w:val="18"/>
        </w:rPr>
        <w:t>as nuevas versiones ajustadas para los siguientes</w:t>
      </w:r>
      <w:r w:rsidR="004F4BAE" w:rsidRPr="00343767">
        <w:rPr>
          <w:rFonts w:ascii="Cambria" w:hAnsi="Cambria"/>
          <w:sz w:val="18"/>
          <w:szCs w:val="18"/>
        </w:rPr>
        <w:t xml:space="preserve"> conceptos </w:t>
      </w:r>
      <w:r w:rsidR="004F4BAE" w:rsidRPr="00343767">
        <w:rPr>
          <w:rFonts w:ascii="Cambria" w:hAnsi="Cambria"/>
          <w:i/>
          <w:iCs/>
          <w:color w:val="0070C0"/>
          <w:sz w:val="18"/>
          <w:szCs w:val="18"/>
        </w:rPr>
        <w:t>“</w:t>
      </w:r>
      <w:r w:rsidR="004F4BAE">
        <w:rPr>
          <w:rFonts w:ascii="Cambria" w:hAnsi="Cambria"/>
          <w:i/>
          <w:iCs/>
          <w:color w:val="0070C0"/>
          <w:sz w:val="18"/>
          <w:szCs w:val="18"/>
        </w:rPr>
        <w:t>5089</w:t>
      </w:r>
      <w:r w:rsidR="004F4BAE" w:rsidRPr="00343767">
        <w:rPr>
          <w:rFonts w:ascii="Cambria" w:hAnsi="Cambria"/>
          <w:i/>
          <w:iCs/>
          <w:color w:val="0070C0"/>
          <w:sz w:val="18"/>
          <w:szCs w:val="18"/>
        </w:rPr>
        <w:t>-Compra de acciones, cuotas o partes de interés social o aportes de sociedades que no cotizan en bolsa”</w:t>
      </w:r>
      <w:r w:rsidR="004F4BAE">
        <w:rPr>
          <w:rFonts w:ascii="Cambria" w:hAnsi="Cambria"/>
          <w:i/>
          <w:iCs/>
          <w:color w:val="0070C0"/>
          <w:sz w:val="18"/>
          <w:szCs w:val="18"/>
        </w:rPr>
        <w:t xml:space="preserve"> </w:t>
      </w:r>
      <w:r w:rsidR="004F4BAE" w:rsidRPr="001B057D">
        <w:rPr>
          <w:rFonts w:ascii="Cambria" w:hAnsi="Cambria"/>
          <w:color w:val="000000" w:themeColor="text1"/>
          <w:sz w:val="18"/>
          <w:szCs w:val="18"/>
        </w:rPr>
        <w:t xml:space="preserve">(ver el ítem 61 de la tabla de conceptos del artículo </w:t>
      </w:r>
      <w:r w:rsidR="00D93109">
        <w:rPr>
          <w:rFonts w:ascii="Cambria" w:hAnsi="Cambria"/>
          <w:color w:val="000000" w:themeColor="text1"/>
          <w:sz w:val="18"/>
          <w:szCs w:val="18"/>
        </w:rPr>
        <w:t>1.3.5.2.1</w:t>
      </w:r>
      <w:r w:rsidR="004F4BAE" w:rsidRPr="001B057D">
        <w:rPr>
          <w:rFonts w:ascii="Cambria" w:hAnsi="Cambria"/>
          <w:color w:val="000000" w:themeColor="text1"/>
          <w:sz w:val="18"/>
          <w:szCs w:val="18"/>
        </w:rPr>
        <w:t xml:space="preserve"> de la Resolución</w:t>
      </w:r>
      <w:r w:rsidR="004F4BAE">
        <w:rPr>
          <w:rFonts w:ascii="Cambria" w:hAnsi="Cambria"/>
          <w:color w:val="000000" w:themeColor="text1"/>
          <w:sz w:val="18"/>
          <w:szCs w:val="18"/>
        </w:rPr>
        <w:t>)</w:t>
      </w:r>
      <w:r w:rsidR="004F4BAE">
        <w:rPr>
          <w:rFonts w:ascii="Cambria" w:hAnsi="Cambria"/>
          <w:i/>
          <w:iCs/>
          <w:color w:val="0070C0"/>
          <w:sz w:val="18"/>
          <w:szCs w:val="18"/>
        </w:rPr>
        <w:t xml:space="preserve"> </w:t>
      </w:r>
      <w:r w:rsidR="004F4BAE" w:rsidRPr="00343767">
        <w:rPr>
          <w:rFonts w:ascii="Cambria" w:hAnsi="Cambria"/>
          <w:i/>
          <w:iCs/>
          <w:color w:val="0070C0"/>
          <w:sz w:val="18"/>
          <w:szCs w:val="18"/>
        </w:rPr>
        <w:t>,</w:t>
      </w:r>
      <w:r w:rsidR="004F4BAE" w:rsidRPr="00343767">
        <w:rPr>
          <w:rFonts w:ascii="Cambria" w:hAnsi="Cambria"/>
          <w:color w:val="0070C0"/>
          <w:sz w:val="18"/>
          <w:szCs w:val="18"/>
        </w:rPr>
        <w:t xml:space="preserve"> </w:t>
      </w:r>
      <w:r w:rsidR="004F4BAE" w:rsidRPr="00343767">
        <w:rPr>
          <w:rFonts w:ascii="Cambria" w:hAnsi="Cambria"/>
          <w:i/>
          <w:iCs/>
          <w:color w:val="0070C0"/>
          <w:sz w:val="18"/>
          <w:szCs w:val="18"/>
        </w:rPr>
        <w:t>“</w:t>
      </w:r>
      <w:r w:rsidR="004F4BAE">
        <w:rPr>
          <w:rFonts w:ascii="Cambria" w:hAnsi="Cambria"/>
          <w:i/>
          <w:iCs/>
          <w:color w:val="0070C0"/>
          <w:sz w:val="18"/>
          <w:szCs w:val="18"/>
        </w:rPr>
        <w:t>5090</w:t>
      </w:r>
      <w:r w:rsidR="004F4BAE" w:rsidRPr="00343767">
        <w:rPr>
          <w:rFonts w:ascii="Cambria" w:hAnsi="Cambria"/>
          <w:i/>
          <w:iCs/>
          <w:color w:val="0070C0"/>
          <w:sz w:val="18"/>
          <w:szCs w:val="18"/>
        </w:rPr>
        <w:t>-Valor donación de acciones, cuotas o partes de interés social o aportes de sociedades que no cotizan en bolsa”</w:t>
      </w:r>
      <w:r w:rsidR="004F4BAE">
        <w:rPr>
          <w:rFonts w:ascii="Cambria" w:hAnsi="Cambria"/>
          <w:i/>
          <w:iCs/>
          <w:color w:val="0070C0"/>
          <w:sz w:val="18"/>
          <w:szCs w:val="18"/>
        </w:rPr>
        <w:t xml:space="preserve"> </w:t>
      </w:r>
      <w:r w:rsidR="004F4BAE" w:rsidRPr="001B057D">
        <w:rPr>
          <w:rFonts w:ascii="Cambria" w:hAnsi="Cambria"/>
          <w:color w:val="000000" w:themeColor="text1"/>
          <w:sz w:val="18"/>
          <w:szCs w:val="18"/>
        </w:rPr>
        <w:t>(ver el ítem 6</w:t>
      </w:r>
      <w:r w:rsidR="00D93109">
        <w:rPr>
          <w:rFonts w:ascii="Cambria" w:hAnsi="Cambria"/>
          <w:color w:val="000000" w:themeColor="text1"/>
          <w:sz w:val="18"/>
          <w:szCs w:val="18"/>
        </w:rPr>
        <w:t>2</w:t>
      </w:r>
      <w:r w:rsidR="004F4BAE" w:rsidRPr="001B057D">
        <w:rPr>
          <w:rFonts w:ascii="Cambria" w:hAnsi="Cambria"/>
          <w:color w:val="000000" w:themeColor="text1"/>
          <w:sz w:val="18"/>
          <w:szCs w:val="18"/>
        </w:rPr>
        <w:t xml:space="preserve"> de la tabla de conceptos del artículo </w:t>
      </w:r>
      <w:r w:rsidR="00D93109">
        <w:rPr>
          <w:rFonts w:ascii="Cambria" w:hAnsi="Cambria"/>
          <w:color w:val="000000" w:themeColor="text1"/>
          <w:sz w:val="18"/>
          <w:szCs w:val="18"/>
        </w:rPr>
        <w:t>1.3.5.2.1</w:t>
      </w:r>
      <w:r w:rsidR="004F4BAE" w:rsidRPr="001B057D">
        <w:rPr>
          <w:rFonts w:ascii="Cambria" w:hAnsi="Cambria"/>
          <w:color w:val="000000" w:themeColor="text1"/>
          <w:sz w:val="18"/>
          <w:szCs w:val="18"/>
        </w:rPr>
        <w:t xml:space="preserve"> de la Resolución)</w:t>
      </w:r>
      <w:r w:rsidR="004F4BAE">
        <w:rPr>
          <w:rFonts w:ascii="Cambria" w:hAnsi="Cambria"/>
          <w:i/>
          <w:iCs/>
          <w:color w:val="0070C0"/>
          <w:sz w:val="18"/>
          <w:szCs w:val="18"/>
        </w:rPr>
        <w:t xml:space="preserve"> </w:t>
      </w:r>
      <w:r w:rsidR="004F4BAE">
        <w:rPr>
          <w:rFonts w:ascii="Cambria" w:hAnsi="Cambria"/>
          <w:sz w:val="18"/>
          <w:szCs w:val="18"/>
        </w:rPr>
        <w:t xml:space="preserve">y </w:t>
      </w:r>
      <w:r w:rsidR="004F4BAE" w:rsidRPr="00343767">
        <w:rPr>
          <w:rFonts w:ascii="Cambria" w:hAnsi="Cambria"/>
          <w:sz w:val="18"/>
          <w:szCs w:val="18"/>
        </w:rPr>
        <w:t xml:space="preserve"> “</w:t>
      </w:r>
      <w:r w:rsidR="004F4BAE">
        <w:rPr>
          <w:rFonts w:ascii="Cambria" w:hAnsi="Cambria"/>
          <w:i/>
          <w:iCs/>
          <w:color w:val="0070C0"/>
          <w:sz w:val="18"/>
          <w:szCs w:val="18"/>
        </w:rPr>
        <w:t>5091-</w:t>
      </w:r>
      <w:r w:rsidR="004F4BAE" w:rsidRPr="00343767">
        <w:rPr>
          <w:rFonts w:ascii="Cambria" w:hAnsi="Cambria"/>
          <w:i/>
          <w:iCs/>
          <w:color w:val="0070C0"/>
          <w:sz w:val="18"/>
          <w:szCs w:val="18"/>
        </w:rPr>
        <w:t>Valor de cesión de acciones, cuotas o partes de interés social o aportes de sociedades que no cotizan en bolsa”</w:t>
      </w:r>
      <w:r w:rsidR="004F4BAE">
        <w:rPr>
          <w:rFonts w:ascii="Cambria" w:hAnsi="Cambria"/>
          <w:sz w:val="18"/>
          <w:szCs w:val="18"/>
        </w:rPr>
        <w:t xml:space="preserve"> </w:t>
      </w:r>
      <w:r w:rsidR="004F4BAE" w:rsidRPr="001B057D">
        <w:rPr>
          <w:rFonts w:ascii="Cambria" w:hAnsi="Cambria"/>
          <w:color w:val="000000" w:themeColor="text1"/>
          <w:sz w:val="18"/>
          <w:szCs w:val="18"/>
        </w:rPr>
        <w:t>(ver el ítem 6</w:t>
      </w:r>
      <w:r w:rsidR="00D93109">
        <w:rPr>
          <w:rFonts w:ascii="Cambria" w:hAnsi="Cambria"/>
          <w:color w:val="000000" w:themeColor="text1"/>
          <w:sz w:val="18"/>
          <w:szCs w:val="18"/>
        </w:rPr>
        <w:t>3</w:t>
      </w:r>
      <w:r w:rsidR="004F4BAE" w:rsidRPr="001B057D">
        <w:rPr>
          <w:rFonts w:ascii="Cambria" w:hAnsi="Cambria"/>
          <w:color w:val="000000" w:themeColor="text1"/>
          <w:sz w:val="18"/>
          <w:szCs w:val="18"/>
        </w:rPr>
        <w:t xml:space="preserve"> de la tabla de conceptos del artícu</w:t>
      </w:r>
      <w:r w:rsidR="00D93109">
        <w:rPr>
          <w:rFonts w:ascii="Cambria" w:hAnsi="Cambria"/>
          <w:color w:val="000000" w:themeColor="text1"/>
          <w:sz w:val="18"/>
          <w:szCs w:val="18"/>
        </w:rPr>
        <w:t>lo 1.3.5.2.1</w:t>
      </w:r>
      <w:r w:rsidR="004F4BAE" w:rsidRPr="001B057D">
        <w:rPr>
          <w:rFonts w:ascii="Cambria" w:hAnsi="Cambria"/>
          <w:color w:val="000000" w:themeColor="text1"/>
          <w:sz w:val="18"/>
          <w:szCs w:val="18"/>
        </w:rPr>
        <w:t xml:space="preserve"> de la Resolución)</w:t>
      </w:r>
      <w:r w:rsidR="004F4BAE">
        <w:rPr>
          <w:rFonts w:ascii="Cambria" w:hAnsi="Cambria"/>
          <w:color w:val="000000" w:themeColor="text1"/>
          <w:sz w:val="18"/>
          <w:szCs w:val="18"/>
        </w:rPr>
        <w:t xml:space="preserve">. Téngase presente que para los reportes del año gravable 2024 los mencionados conceptos 5089 a 5091 solo aplican para operaciones relacionadas con “acciones” pero en su aplicación para el año gravable 2025 aplicará no solo para operaciones relacionadas con “acciones” sino también para operaciones relacionadas con “cuotas o partes de interés social”. </w:t>
      </w:r>
      <w:r w:rsidR="004F4BAE" w:rsidRPr="00343767">
        <w:rPr>
          <w:rFonts w:ascii="Cambria" w:hAnsi="Cambria"/>
          <w:sz w:val="18"/>
          <w:szCs w:val="18"/>
        </w:rPr>
        <w:t xml:space="preserve">Además, se agregó un </w:t>
      </w:r>
      <w:r w:rsidR="004F4BAE">
        <w:rPr>
          <w:rFonts w:ascii="Cambria" w:hAnsi="Cambria"/>
          <w:sz w:val="18"/>
          <w:szCs w:val="18"/>
        </w:rPr>
        <w:t xml:space="preserve">nuevo concepto  </w:t>
      </w:r>
      <w:r w:rsidR="004F4BAE" w:rsidRPr="00343767">
        <w:rPr>
          <w:rFonts w:ascii="Cambria" w:hAnsi="Cambria"/>
          <w:sz w:val="18"/>
          <w:szCs w:val="18"/>
        </w:rPr>
        <w:t xml:space="preserve"> </w:t>
      </w:r>
      <w:r w:rsidR="004F4BAE" w:rsidRPr="00343767">
        <w:rPr>
          <w:rFonts w:ascii="Cambria" w:hAnsi="Cambria"/>
          <w:i/>
          <w:iCs/>
          <w:color w:val="0070C0"/>
          <w:sz w:val="18"/>
          <w:szCs w:val="18"/>
        </w:rPr>
        <w:t>“</w:t>
      </w:r>
      <w:r w:rsidR="004F4BAE">
        <w:rPr>
          <w:rFonts w:ascii="Cambria" w:hAnsi="Cambria"/>
          <w:i/>
          <w:iCs/>
          <w:color w:val="0070C0"/>
          <w:sz w:val="18"/>
          <w:szCs w:val="18"/>
        </w:rPr>
        <w:t>5101-</w:t>
      </w:r>
      <w:r w:rsidR="004F4BAE" w:rsidRPr="00343767">
        <w:rPr>
          <w:rFonts w:ascii="Cambria" w:hAnsi="Cambria"/>
          <w:i/>
          <w:iCs/>
          <w:color w:val="0070C0"/>
          <w:sz w:val="18"/>
          <w:szCs w:val="18"/>
        </w:rPr>
        <w:t>Valor del Gravamen a los movimientos financieros</w:t>
      </w:r>
      <w:r w:rsidR="004F4BAE" w:rsidRPr="00343767">
        <w:rPr>
          <w:rFonts w:ascii="Cambria" w:hAnsi="Cambria"/>
          <w:sz w:val="18"/>
          <w:szCs w:val="18"/>
        </w:rPr>
        <w:t xml:space="preserve">. </w:t>
      </w:r>
      <w:r w:rsidR="004F4BAE" w:rsidRPr="00343767">
        <w:rPr>
          <w:rFonts w:ascii="Cambria" w:hAnsi="Cambria"/>
          <w:i/>
          <w:iCs/>
          <w:color w:val="0070C0"/>
          <w:sz w:val="18"/>
          <w:szCs w:val="18"/>
        </w:rPr>
        <w:t>Este valor no debe incluirse en el concepto 5015</w:t>
      </w:r>
      <w:r w:rsidR="004F4BAE" w:rsidRPr="00343767">
        <w:rPr>
          <w:rFonts w:ascii="Cambria" w:hAnsi="Cambria"/>
          <w:sz w:val="18"/>
          <w:szCs w:val="18"/>
        </w:rPr>
        <w:t>”</w:t>
      </w:r>
      <w:r w:rsidR="004F4BAE">
        <w:rPr>
          <w:rFonts w:ascii="Cambria" w:hAnsi="Cambria"/>
          <w:sz w:val="18"/>
          <w:szCs w:val="18"/>
        </w:rPr>
        <w:t xml:space="preserve"> (</w:t>
      </w:r>
      <w:r w:rsidR="004F4BAE" w:rsidRPr="001B057D">
        <w:rPr>
          <w:rFonts w:ascii="Cambria" w:hAnsi="Cambria"/>
          <w:color w:val="000000" w:themeColor="text1"/>
          <w:sz w:val="18"/>
          <w:szCs w:val="18"/>
        </w:rPr>
        <w:t xml:space="preserve">ver el ítem </w:t>
      </w:r>
      <w:r w:rsidR="004F4BAE">
        <w:rPr>
          <w:rFonts w:ascii="Cambria" w:hAnsi="Cambria"/>
          <w:color w:val="000000" w:themeColor="text1"/>
          <w:sz w:val="18"/>
          <w:szCs w:val="18"/>
        </w:rPr>
        <w:t>80</w:t>
      </w:r>
      <w:r w:rsidR="004F4BAE" w:rsidRPr="001B057D">
        <w:rPr>
          <w:rFonts w:ascii="Cambria" w:hAnsi="Cambria"/>
          <w:color w:val="000000" w:themeColor="text1"/>
          <w:sz w:val="18"/>
          <w:szCs w:val="18"/>
        </w:rPr>
        <w:t xml:space="preserve"> de la tabla de conceptos del artículo </w:t>
      </w:r>
      <w:r w:rsidR="00D93109">
        <w:rPr>
          <w:rFonts w:ascii="Cambria" w:hAnsi="Cambria"/>
          <w:color w:val="000000" w:themeColor="text1"/>
          <w:sz w:val="18"/>
          <w:szCs w:val="18"/>
        </w:rPr>
        <w:t>1.3.5.2.1</w:t>
      </w:r>
      <w:r w:rsidR="004F4BAE" w:rsidRPr="001B057D">
        <w:rPr>
          <w:rFonts w:ascii="Cambria" w:hAnsi="Cambria"/>
          <w:color w:val="000000" w:themeColor="text1"/>
          <w:sz w:val="18"/>
          <w:szCs w:val="18"/>
        </w:rPr>
        <w:t xml:space="preserve"> de la Resolución)</w:t>
      </w:r>
      <w:r w:rsidR="004F4BAE">
        <w:rPr>
          <w:rFonts w:ascii="Cambria" w:hAnsi="Cambria"/>
          <w:color w:val="000000" w:themeColor="text1"/>
          <w:sz w:val="18"/>
          <w:szCs w:val="18"/>
        </w:rPr>
        <w:t xml:space="preserve"> y también un nuevo </w:t>
      </w:r>
      <w:r w:rsidR="004F4BAE" w:rsidRPr="00343767">
        <w:rPr>
          <w:rFonts w:ascii="Cambria" w:hAnsi="Cambria"/>
          <w:sz w:val="18"/>
          <w:szCs w:val="18"/>
        </w:rPr>
        <w:t>parágrafo 16</w:t>
      </w:r>
      <w:r w:rsidR="004F4BAE">
        <w:rPr>
          <w:rFonts w:ascii="Cambria" w:hAnsi="Cambria"/>
          <w:sz w:val="18"/>
          <w:szCs w:val="18"/>
        </w:rPr>
        <w:t>,</w:t>
      </w:r>
      <w:r w:rsidR="004F4BAE" w:rsidRPr="00343767">
        <w:rPr>
          <w:rFonts w:ascii="Cambria" w:hAnsi="Cambria"/>
          <w:sz w:val="18"/>
          <w:szCs w:val="18"/>
        </w:rPr>
        <w:t xml:space="preserve"> para indicar que el reporte del gasto por el GMF se reali</w:t>
      </w:r>
      <w:r w:rsidR="004F4BAE">
        <w:rPr>
          <w:rFonts w:ascii="Cambria" w:hAnsi="Cambria"/>
          <w:sz w:val="18"/>
          <w:szCs w:val="18"/>
        </w:rPr>
        <w:t>zará</w:t>
      </w:r>
      <w:r w:rsidR="004F4BAE" w:rsidRPr="00343767">
        <w:rPr>
          <w:rFonts w:ascii="Cambria" w:hAnsi="Cambria"/>
          <w:sz w:val="18"/>
          <w:szCs w:val="18"/>
        </w:rPr>
        <w:t xml:space="preserve"> reportando a los bancos que practicaron la retención de dicho impuesto. </w:t>
      </w:r>
      <w:r w:rsidR="004F4BAE">
        <w:rPr>
          <w:rFonts w:ascii="Cambria" w:hAnsi="Cambria"/>
          <w:sz w:val="18"/>
          <w:szCs w:val="18"/>
        </w:rPr>
        <w:t>Téngase presente que hasta el reporte del año gravable 2024 el gasto por el GMF se pu</w:t>
      </w:r>
      <w:r w:rsidR="00D93109">
        <w:rPr>
          <w:rFonts w:ascii="Cambria" w:hAnsi="Cambria"/>
          <w:sz w:val="18"/>
          <w:szCs w:val="18"/>
        </w:rPr>
        <w:t>do</w:t>
      </w:r>
      <w:r w:rsidR="004F4BAE">
        <w:rPr>
          <w:rFonts w:ascii="Cambria" w:hAnsi="Cambria"/>
          <w:sz w:val="18"/>
          <w:szCs w:val="18"/>
        </w:rPr>
        <w:t xml:space="preserve"> reportar con el concepto 5015 y utilizando como único beneficiario a la “DIAN” pues los bancos solo son recaudadores de dicho impuesto pero el tercero al cual se le forma un ingreso con dicho dinero es justamente la “DIAN” (es exactamente igual a lo que sucede cuando en una entidad financiera se presenta y paga una declaración de industria y comercio pues el banco solo recauda pero el beneficiario de dicho pago es el municipio respectivo al cual se le pagó el impuesto).</w:t>
      </w:r>
      <w:r w:rsidR="004F4BAE" w:rsidRPr="00343767">
        <w:rPr>
          <w:rFonts w:ascii="Cambria" w:hAnsi="Cambria"/>
          <w:sz w:val="18"/>
          <w:szCs w:val="18"/>
        </w:rPr>
        <w:t xml:space="preserve"> Adicionalmente, se dispuso que el ICETEX, </w:t>
      </w:r>
      <w:proofErr w:type="spellStart"/>
      <w:r w:rsidR="004F4BAE" w:rsidRPr="00343767">
        <w:rPr>
          <w:rFonts w:ascii="Cambria" w:hAnsi="Cambria"/>
          <w:sz w:val="18"/>
          <w:szCs w:val="18"/>
        </w:rPr>
        <w:t>Colfuturo</w:t>
      </w:r>
      <w:proofErr w:type="spellEnd"/>
      <w:r w:rsidR="004F4BAE" w:rsidRPr="00343767">
        <w:rPr>
          <w:rFonts w:ascii="Cambria" w:hAnsi="Cambria"/>
          <w:sz w:val="18"/>
          <w:szCs w:val="18"/>
        </w:rPr>
        <w:t>, el Ministerio de Ciencia y Tecnología y todas las entidades que administren recursos públicos para el otorgamiento de becas, usarán en el formato 5247 (gastos ejecutados por los ejecutores de los contratos de colaboración empresarial</w:t>
      </w:r>
      <w:r w:rsidR="004F4BAE">
        <w:rPr>
          <w:rFonts w:ascii="Cambria" w:hAnsi="Cambria"/>
          <w:sz w:val="18"/>
          <w:szCs w:val="18"/>
        </w:rPr>
        <w:t xml:space="preserve">; ver artículo </w:t>
      </w:r>
      <w:r w:rsidR="00D93109">
        <w:rPr>
          <w:rFonts w:ascii="Cambria" w:hAnsi="Cambria"/>
          <w:sz w:val="18"/>
          <w:szCs w:val="18"/>
        </w:rPr>
        <w:t>1.3.5.12.1</w:t>
      </w:r>
      <w:r w:rsidR="004F4BAE">
        <w:rPr>
          <w:rFonts w:ascii="Cambria" w:hAnsi="Cambria"/>
          <w:sz w:val="18"/>
          <w:szCs w:val="18"/>
        </w:rPr>
        <w:t xml:space="preserve"> de la Resolución</w:t>
      </w:r>
      <w:r w:rsidR="004F4BAE" w:rsidRPr="00343767">
        <w:rPr>
          <w:rFonts w:ascii="Cambria" w:hAnsi="Cambria"/>
          <w:sz w:val="18"/>
          <w:szCs w:val="18"/>
        </w:rPr>
        <w:t xml:space="preserve">) el </w:t>
      </w:r>
      <w:r w:rsidR="004F4BAE">
        <w:rPr>
          <w:rFonts w:ascii="Cambria" w:hAnsi="Cambria"/>
          <w:sz w:val="18"/>
          <w:szCs w:val="18"/>
        </w:rPr>
        <w:t xml:space="preserve">nuevo </w:t>
      </w:r>
      <w:r w:rsidR="004F4BAE" w:rsidRPr="00343767">
        <w:rPr>
          <w:rFonts w:ascii="Cambria" w:hAnsi="Cambria"/>
          <w:sz w:val="18"/>
          <w:szCs w:val="18"/>
        </w:rPr>
        <w:t>concepto “</w:t>
      </w:r>
      <w:r w:rsidR="004F4BAE">
        <w:rPr>
          <w:rFonts w:ascii="Cambria" w:hAnsi="Cambria"/>
          <w:i/>
          <w:iCs/>
          <w:color w:val="0070C0"/>
          <w:sz w:val="18"/>
          <w:szCs w:val="18"/>
        </w:rPr>
        <w:t>5102</w:t>
      </w:r>
      <w:r w:rsidR="004F4BAE" w:rsidRPr="00343767">
        <w:rPr>
          <w:rFonts w:ascii="Cambria" w:hAnsi="Cambria"/>
          <w:i/>
          <w:iCs/>
          <w:color w:val="0070C0"/>
          <w:sz w:val="18"/>
          <w:szCs w:val="18"/>
        </w:rPr>
        <w:t xml:space="preserve">-Valor de los pagos por apoyos económicos no reembolsables o condonados para </w:t>
      </w:r>
      <w:r w:rsidR="004F4BAE" w:rsidRPr="00343767">
        <w:rPr>
          <w:rFonts w:ascii="Cambria" w:hAnsi="Cambria"/>
          <w:i/>
          <w:iCs/>
          <w:color w:val="0070C0"/>
          <w:sz w:val="18"/>
          <w:szCs w:val="18"/>
        </w:rPr>
        <w:lastRenderedPageBreak/>
        <w:t>financiera educación con recurso público art. 46 del ET”</w:t>
      </w:r>
      <w:r w:rsidR="004F4BAE" w:rsidRPr="001B057D">
        <w:rPr>
          <w:rFonts w:ascii="Cambria" w:hAnsi="Cambria"/>
          <w:sz w:val="18"/>
          <w:szCs w:val="18"/>
        </w:rPr>
        <w:t xml:space="preserve"> </w:t>
      </w:r>
      <w:r w:rsidR="004F4BAE">
        <w:rPr>
          <w:rFonts w:ascii="Cambria" w:hAnsi="Cambria"/>
          <w:sz w:val="18"/>
          <w:szCs w:val="18"/>
        </w:rPr>
        <w:t>(</w:t>
      </w:r>
      <w:r w:rsidR="004F4BAE" w:rsidRPr="001B057D">
        <w:rPr>
          <w:rFonts w:ascii="Cambria" w:hAnsi="Cambria"/>
          <w:color w:val="000000" w:themeColor="text1"/>
          <w:sz w:val="18"/>
          <w:szCs w:val="18"/>
        </w:rPr>
        <w:t xml:space="preserve">ver el ítem </w:t>
      </w:r>
      <w:r w:rsidR="004F4BAE">
        <w:rPr>
          <w:rFonts w:ascii="Cambria" w:hAnsi="Cambria"/>
          <w:color w:val="000000" w:themeColor="text1"/>
          <w:sz w:val="18"/>
          <w:szCs w:val="18"/>
        </w:rPr>
        <w:t>81</w:t>
      </w:r>
      <w:r w:rsidR="004F4BAE" w:rsidRPr="001B057D">
        <w:rPr>
          <w:rFonts w:ascii="Cambria" w:hAnsi="Cambria"/>
          <w:color w:val="000000" w:themeColor="text1"/>
          <w:sz w:val="18"/>
          <w:szCs w:val="18"/>
        </w:rPr>
        <w:t xml:space="preserve"> de la tabla de conceptos del artículo </w:t>
      </w:r>
      <w:r w:rsidR="00D93109">
        <w:rPr>
          <w:rFonts w:ascii="Cambria" w:hAnsi="Cambria"/>
          <w:color w:val="000000" w:themeColor="text1"/>
          <w:sz w:val="18"/>
          <w:szCs w:val="18"/>
        </w:rPr>
        <w:t>1.3.5.2.1</w:t>
      </w:r>
      <w:r w:rsidR="004F4BAE" w:rsidRPr="001B057D">
        <w:rPr>
          <w:rFonts w:ascii="Cambria" w:hAnsi="Cambria"/>
          <w:color w:val="000000" w:themeColor="text1"/>
          <w:sz w:val="18"/>
          <w:szCs w:val="18"/>
        </w:rPr>
        <w:t xml:space="preserve"> de la Resolución)</w:t>
      </w:r>
      <w:r w:rsidR="00214907">
        <w:rPr>
          <w:rFonts w:ascii="Cambria" w:hAnsi="Cambria"/>
          <w:color w:val="000000" w:themeColor="text1"/>
          <w:sz w:val="18"/>
          <w:szCs w:val="18"/>
        </w:rPr>
        <w:t>.</w:t>
      </w:r>
    </w:p>
    <w:p w:rsidR="00214907" w:rsidRPr="00214907" w:rsidRDefault="00214907" w:rsidP="00214907">
      <w:pPr>
        <w:pStyle w:val="Prrafodelista"/>
        <w:tabs>
          <w:tab w:val="left" w:pos="851"/>
        </w:tabs>
        <w:ind w:left="720"/>
        <w:contextualSpacing/>
        <w:jc w:val="both"/>
        <w:rPr>
          <w:rFonts w:ascii="Cambria" w:hAnsi="Cambria"/>
          <w:i/>
          <w:iCs/>
          <w:color w:val="0070C0"/>
          <w:sz w:val="18"/>
          <w:szCs w:val="18"/>
        </w:rPr>
      </w:pPr>
    </w:p>
    <w:p w:rsidR="00214907" w:rsidRPr="00214907" w:rsidRDefault="00214907" w:rsidP="00214907">
      <w:pPr>
        <w:pStyle w:val="Prrafodelista"/>
        <w:numPr>
          <w:ilvl w:val="0"/>
          <w:numId w:val="1"/>
        </w:numPr>
        <w:contextualSpacing/>
        <w:rPr>
          <w:rFonts w:ascii="Cambria" w:hAnsi="Cambria"/>
          <w:sz w:val="18"/>
          <w:szCs w:val="18"/>
          <w:u w:val="single"/>
        </w:rPr>
      </w:pPr>
      <w:r>
        <w:rPr>
          <w:rFonts w:ascii="Cambria" w:hAnsi="Cambria"/>
          <w:sz w:val="18"/>
          <w:szCs w:val="18"/>
        </w:rPr>
        <w:t xml:space="preserve">De acuerdo con </w:t>
      </w:r>
      <w:r w:rsidR="008558A5">
        <w:rPr>
          <w:rFonts w:ascii="Cambria" w:hAnsi="Cambria"/>
          <w:sz w:val="18"/>
          <w:szCs w:val="18"/>
        </w:rPr>
        <w:t>la nueva versión del</w:t>
      </w:r>
      <w:r w:rsidRPr="00214907">
        <w:rPr>
          <w:rFonts w:ascii="Cambria" w:hAnsi="Cambria"/>
          <w:sz w:val="18"/>
          <w:szCs w:val="18"/>
        </w:rPr>
        <w:t xml:space="preserve">  artículo 1.3.5.3.1 de la Resolución Unificada 227 de septiembre 23 de 2025, el cual contiene las instrucciones para elaborar el reporte del formato 1003 con el detalle de las retenciones a título de renta, de IVA o de Timbre que le hayan practicado al informante</w:t>
      </w:r>
      <w:r>
        <w:rPr>
          <w:rFonts w:ascii="Cambria" w:hAnsi="Cambria"/>
          <w:sz w:val="18"/>
          <w:szCs w:val="18"/>
        </w:rPr>
        <w:t>, se</w:t>
      </w:r>
      <w:r w:rsidR="008558A5">
        <w:rPr>
          <w:rFonts w:ascii="Cambria" w:hAnsi="Cambria"/>
          <w:sz w:val="18"/>
          <w:szCs w:val="18"/>
        </w:rPr>
        <w:t xml:space="preserve"> dispuso una nueva instrucción para reportar los datos por concepto de retenciones a título de IVA que le hayan practicado al informante. </w:t>
      </w:r>
      <w:r w:rsidRPr="00214907">
        <w:rPr>
          <w:rFonts w:ascii="Cambria" w:hAnsi="Cambria"/>
          <w:sz w:val="18"/>
          <w:szCs w:val="18"/>
        </w:rPr>
        <w:t>En la anteri</w:t>
      </w:r>
      <w:r w:rsidR="008558A5">
        <w:rPr>
          <w:rFonts w:ascii="Cambria" w:hAnsi="Cambria"/>
          <w:sz w:val="18"/>
          <w:szCs w:val="18"/>
        </w:rPr>
        <w:t>o</w:t>
      </w:r>
      <w:r w:rsidRPr="00214907">
        <w:rPr>
          <w:rFonts w:ascii="Cambria" w:hAnsi="Cambria"/>
          <w:sz w:val="18"/>
          <w:szCs w:val="18"/>
        </w:rPr>
        <w:t xml:space="preserve">r versión del inciso primero </w:t>
      </w:r>
      <w:r w:rsidR="008558A5">
        <w:rPr>
          <w:rFonts w:ascii="Cambria" w:hAnsi="Cambria"/>
          <w:sz w:val="18"/>
          <w:szCs w:val="18"/>
        </w:rPr>
        <w:t xml:space="preserve">de la norma </w:t>
      </w:r>
      <w:r w:rsidRPr="00214907">
        <w:rPr>
          <w:rFonts w:ascii="Cambria" w:hAnsi="Cambria"/>
          <w:sz w:val="18"/>
          <w:szCs w:val="18"/>
        </w:rPr>
        <w:t>se indicaba que en el formato se reportaba el “valor acumulado del pago o abono en cuenta de las transacciones sobre las cuales le practicaron la retención” lo cual implicaba que cuando se utilizaba el concepto 1309 para reportar las retenciones a título de IVA también se terminaba reportando el valor de la venta y no el valor del IVA generado. Pero en la nueva versión del inciso primero se indica que se deberá reportar el “valor de la base de retención acumulada del pago o abono en cuenta sujeto a retención”. Y adicionalmente se incluyó un nuevo parágrafo 1 en el cual se estableció expresamente la siguiente instrucción: “</w:t>
      </w:r>
      <w:r w:rsidRPr="00214907">
        <w:rPr>
          <w:rFonts w:ascii="Cambria" w:hAnsi="Cambria"/>
          <w:b/>
          <w:bCs/>
          <w:sz w:val="18"/>
          <w:szCs w:val="18"/>
        </w:rPr>
        <w:t>“</w:t>
      </w:r>
      <w:r w:rsidRPr="00214907">
        <w:rPr>
          <w:rFonts w:ascii="Cambria" w:hAnsi="Cambria"/>
          <w:b/>
          <w:bCs/>
          <w:i/>
          <w:iCs/>
          <w:color w:val="0070C0"/>
          <w:sz w:val="18"/>
          <w:szCs w:val="18"/>
        </w:rPr>
        <w:t xml:space="preserve">Parágrafo 1. </w:t>
      </w:r>
      <w:r w:rsidRPr="00214907">
        <w:rPr>
          <w:rFonts w:ascii="Cambria" w:hAnsi="Cambria"/>
          <w:i/>
          <w:iCs/>
          <w:color w:val="0070C0"/>
          <w:sz w:val="18"/>
          <w:szCs w:val="18"/>
        </w:rPr>
        <w:t xml:space="preserve">Para el concepto 1309 “Retención en la fuente en el impuesto sobre las ventas”, el valor a reportar como base de la retención corresponde al valor de IVA y no al valor del pago o abono en cuenta.” </w:t>
      </w:r>
    </w:p>
    <w:p w:rsidR="00214907" w:rsidRPr="00214907" w:rsidRDefault="00214907" w:rsidP="00214907">
      <w:pPr>
        <w:pStyle w:val="Prrafodelista"/>
        <w:tabs>
          <w:tab w:val="left" w:pos="851"/>
        </w:tabs>
        <w:ind w:left="720"/>
        <w:contextualSpacing/>
        <w:jc w:val="both"/>
        <w:rPr>
          <w:rFonts w:ascii="Cambria" w:hAnsi="Cambria"/>
          <w:i/>
          <w:iCs/>
          <w:color w:val="0070C0"/>
          <w:sz w:val="18"/>
          <w:szCs w:val="18"/>
        </w:rPr>
      </w:pPr>
    </w:p>
    <w:p w:rsidR="004F4BAE" w:rsidRPr="00343767" w:rsidRDefault="004F4BAE" w:rsidP="004F4BAE">
      <w:pPr>
        <w:pStyle w:val="Prrafodelista"/>
        <w:tabs>
          <w:tab w:val="left" w:pos="851"/>
        </w:tabs>
        <w:jc w:val="both"/>
        <w:rPr>
          <w:rFonts w:ascii="Cambria" w:hAnsi="Cambria"/>
          <w:i/>
          <w:iCs/>
          <w:color w:val="0070C0"/>
          <w:sz w:val="18"/>
          <w:szCs w:val="18"/>
        </w:rPr>
      </w:pPr>
    </w:p>
    <w:p w:rsidR="004F4BAE" w:rsidRDefault="00D93109" w:rsidP="004F4BAE">
      <w:pPr>
        <w:pStyle w:val="Prrafodelista"/>
        <w:numPr>
          <w:ilvl w:val="0"/>
          <w:numId w:val="1"/>
        </w:numPr>
        <w:tabs>
          <w:tab w:val="left" w:pos="851"/>
        </w:tabs>
        <w:contextualSpacing/>
        <w:jc w:val="both"/>
        <w:rPr>
          <w:rFonts w:ascii="Cambria" w:hAnsi="Cambria"/>
          <w:color w:val="000000" w:themeColor="text1"/>
          <w:sz w:val="18"/>
          <w:szCs w:val="18"/>
        </w:rPr>
      </w:pPr>
      <w:r>
        <w:rPr>
          <w:rFonts w:ascii="Cambria" w:hAnsi="Cambria"/>
          <w:sz w:val="18"/>
          <w:szCs w:val="18"/>
        </w:rPr>
        <w:t xml:space="preserve">De acuerdo con el </w:t>
      </w:r>
      <w:r w:rsidR="004F4BAE" w:rsidRPr="00343767">
        <w:rPr>
          <w:rFonts w:ascii="Cambria" w:hAnsi="Cambria"/>
          <w:sz w:val="18"/>
          <w:szCs w:val="18"/>
        </w:rPr>
        <w:t xml:space="preserve">artículo </w:t>
      </w:r>
      <w:r>
        <w:rPr>
          <w:rFonts w:ascii="Cambria" w:hAnsi="Cambria"/>
          <w:sz w:val="18"/>
          <w:szCs w:val="18"/>
        </w:rPr>
        <w:t>1.3.5.4.1</w:t>
      </w:r>
      <w:r w:rsidR="004F4BAE" w:rsidRPr="00343767">
        <w:rPr>
          <w:rFonts w:ascii="Cambria" w:hAnsi="Cambria"/>
          <w:sz w:val="18"/>
          <w:szCs w:val="18"/>
        </w:rPr>
        <w:t xml:space="preserve"> de la Resolución </w:t>
      </w:r>
      <w:r w:rsidR="00911157">
        <w:rPr>
          <w:rFonts w:ascii="Cambria" w:hAnsi="Cambria"/>
          <w:sz w:val="18"/>
          <w:szCs w:val="18"/>
        </w:rPr>
        <w:t>227</w:t>
      </w:r>
      <w:r w:rsidR="004F4BAE" w:rsidRPr="00343767">
        <w:rPr>
          <w:rFonts w:ascii="Cambria" w:hAnsi="Cambria"/>
          <w:sz w:val="18"/>
          <w:szCs w:val="18"/>
        </w:rPr>
        <w:t xml:space="preserve"> de </w:t>
      </w:r>
      <w:r w:rsidR="00911157">
        <w:rPr>
          <w:rFonts w:ascii="Cambria" w:hAnsi="Cambria"/>
          <w:sz w:val="18"/>
          <w:szCs w:val="18"/>
        </w:rPr>
        <w:t>septiembre</w:t>
      </w:r>
      <w:r w:rsidR="004F4BAE" w:rsidRPr="00343767">
        <w:rPr>
          <w:rFonts w:ascii="Cambria" w:hAnsi="Cambria"/>
          <w:sz w:val="18"/>
          <w:szCs w:val="18"/>
        </w:rPr>
        <w:t xml:space="preserve"> de 202</w:t>
      </w:r>
      <w:r w:rsidR="00911157">
        <w:rPr>
          <w:rFonts w:ascii="Cambria" w:hAnsi="Cambria"/>
          <w:sz w:val="18"/>
          <w:szCs w:val="18"/>
        </w:rPr>
        <w:t>5 (</w:t>
      </w:r>
      <w:r w:rsidR="004F4BAE" w:rsidRPr="00343767">
        <w:rPr>
          <w:rFonts w:ascii="Cambria" w:hAnsi="Cambria"/>
          <w:sz w:val="18"/>
          <w:szCs w:val="18"/>
        </w:rPr>
        <w:t>el cual contiene las instrucciones para elaborar el formato 1007 v.9 por concepto de ingresos fiscales recibidos durante el año</w:t>
      </w:r>
      <w:r w:rsidR="00911157">
        <w:rPr>
          <w:rFonts w:ascii="Cambria" w:hAnsi="Cambria"/>
          <w:sz w:val="18"/>
          <w:szCs w:val="18"/>
        </w:rPr>
        <w:t xml:space="preserve">), </w:t>
      </w:r>
      <w:r w:rsidR="00911157">
        <w:rPr>
          <w:rFonts w:ascii="Cambria" w:hAnsi="Cambria"/>
          <w:sz w:val="18"/>
          <w:szCs w:val="18"/>
        </w:rPr>
        <w:t>y el parágrafo 5 del artículo 1.3.9.1.3 de la misma Resolución 227 de septiembre de 2025</w:t>
      </w:r>
      <w:r w:rsidR="00911157">
        <w:rPr>
          <w:rFonts w:ascii="Cambria" w:hAnsi="Cambria"/>
          <w:sz w:val="18"/>
          <w:szCs w:val="18"/>
        </w:rPr>
        <w:t>,</w:t>
      </w:r>
      <w:r w:rsidR="004F4BAE" w:rsidRPr="00343767">
        <w:rPr>
          <w:rFonts w:ascii="Cambria" w:hAnsi="Cambria"/>
          <w:sz w:val="18"/>
          <w:szCs w:val="18"/>
        </w:rPr>
        <w:t xml:space="preserve"> </w:t>
      </w:r>
      <w:r w:rsidR="00911157">
        <w:rPr>
          <w:rFonts w:ascii="Cambria" w:hAnsi="Cambria"/>
          <w:sz w:val="18"/>
          <w:szCs w:val="18"/>
        </w:rPr>
        <w:t>s</w:t>
      </w:r>
      <w:r w:rsidR="004F4BAE" w:rsidRPr="00343767">
        <w:rPr>
          <w:rFonts w:ascii="Cambria" w:hAnsi="Cambria"/>
          <w:sz w:val="18"/>
          <w:szCs w:val="18"/>
        </w:rPr>
        <w:t>e dispuso que a partir de los reportes del año gravable 2025 se deberán tomar en cuenta l</w:t>
      </w:r>
      <w:r w:rsidR="004F4BAE">
        <w:rPr>
          <w:rFonts w:ascii="Cambria" w:hAnsi="Cambria"/>
          <w:sz w:val="18"/>
          <w:szCs w:val="18"/>
        </w:rPr>
        <w:t>as</w:t>
      </w:r>
      <w:r w:rsidR="004F4BAE" w:rsidRPr="00343767">
        <w:rPr>
          <w:rFonts w:ascii="Cambria" w:hAnsi="Cambria"/>
          <w:sz w:val="18"/>
          <w:szCs w:val="18"/>
        </w:rPr>
        <w:t xml:space="preserve"> nuev</w:t>
      </w:r>
      <w:r w:rsidR="004F4BAE">
        <w:rPr>
          <w:rFonts w:ascii="Cambria" w:hAnsi="Cambria"/>
          <w:sz w:val="18"/>
          <w:szCs w:val="18"/>
        </w:rPr>
        <w:t>as versiones de los</w:t>
      </w:r>
      <w:r w:rsidR="004F4BAE" w:rsidRPr="00343767">
        <w:rPr>
          <w:rFonts w:ascii="Cambria" w:hAnsi="Cambria"/>
          <w:sz w:val="18"/>
          <w:szCs w:val="18"/>
        </w:rPr>
        <w:t xml:space="preserve"> conceptos “</w:t>
      </w:r>
      <w:r w:rsidR="004F4BAE" w:rsidRPr="00343767">
        <w:rPr>
          <w:rFonts w:ascii="Cambria" w:hAnsi="Cambria"/>
          <w:i/>
          <w:iCs/>
          <w:color w:val="0070C0"/>
          <w:sz w:val="18"/>
          <w:szCs w:val="18"/>
        </w:rPr>
        <w:t>4020-Ingresos brutos por ventas de acciones, cuotas o partes de interés social o aportes de sociedades que no cotizan en bolsa que constituyen renta (incluye los títulos recibidos por cesión o donación)”</w:t>
      </w:r>
      <w:r w:rsidR="004F4BAE" w:rsidRPr="00343767">
        <w:rPr>
          <w:rFonts w:ascii="Cambria" w:hAnsi="Cambria"/>
          <w:i/>
          <w:iCs/>
          <w:color w:val="000000" w:themeColor="text1"/>
          <w:sz w:val="18"/>
          <w:szCs w:val="18"/>
        </w:rPr>
        <w:t xml:space="preserve"> </w:t>
      </w:r>
      <w:r w:rsidR="004F4BAE" w:rsidRPr="00343767">
        <w:rPr>
          <w:rFonts w:ascii="Cambria" w:hAnsi="Cambria"/>
          <w:color w:val="000000" w:themeColor="text1"/>
          <w:sz w:val="18"/>
          <w:szCs w:val="18"/>
        </w:rPr>
        <w:t xml:space="preserve">y </w:t>
      </w:r>
      <w:r w:rsidR="004F4BAE" w:rsidRPr="00343767">
        <w:rPr>
          <w:rFonts w:ascii="Cambria" w:hAnsi="Cambria"/>
          <w:sz w:val="18"/>
          <w:szCs w:val="18"/>
        </w:rPr>
        <w:t>“</w:t>
      </w:r>
      <w:r w:rsidR="004F4BAE" w:rsidRPr="00343767">
        <w:rPr>
          <w:rFonts w:ascii="Cambria" w:hAnsi="Cambria"/>
          <w:i/>
          <w:iCs/>
          <w:color w:val="0070C0"/>
          <w:sz w:val="18"/>
          <w:szCs w:val="18"/>
        </w:rPr>
        <w:t>402</w:t>
      </w:r>
      <w:r w:rsidR="004F4BAE">
        <w:rPr>
          <w:rFonts w:ascii="Cambria" w:hAnsi="Cambria"/>
          <w:i/>
          <w:iCs/>
          <w:color w:val="0070C0"/>
          <w:sz w:val="18"/>
          <w:szCs w:val="18"/>
        </w:rPr>
        <w:t>1</w:t>
      </w:r>
      <w:r w:rsidR="004F4BAE" w:rsidRPr="00343767">
        <w:rPr>
          <w:rFonts w:ascii="Cambria" w:hAnsi="Cambria"/>
          <w:i/>
          <w:iCs/>
          <w:color w:val="0070C0"/>
          <w:sz w:val="18"/>
          <w:szCs w:val="18"/>
        </w:rPr>
        <w:t>-Ingresos brutos por ventas de acciones, cuotas o partes de interés social o aportes de sociedades que no cotizan en bolsa que constituyen ganancia ocasional (incluye los títulos recibidos por cesión o donación)”.</w:t>
      </w:r>
      <w:r w:rsidR="004F4BAE" w:rsidRPr="00343767">
        <w:rPr>
          <w:rFonts w:ascii="Cambria" w:hAnsi="Cambria"/>
          <w:color w:val="000000" w:themeColor="text1"/>
          <w:sz w:val="18"/>
          <w:szCs w:val="18"/>
        </w:rPr>
        <w:t xml:space="preserve"> </w:t>
      </w:r>
      <w:r w:rsidR="004F4BAE">
        <w:rPr>
          <w:rFonts w:ascii="Cambria" w:hAnsi="Cambria"/>
          <w:color w:val="000000" w:themeColor="text1"/>
          <w:sz w:val="18"/>
          <w:szCs w:val="18"/>
        </w:rPr>
        <w:t>Téngase presente que para los reportes del año gravable 2024 los mencionados conceptos 4020 y 4021 solo aplican para operaciones relacionadas con “acciones” pero en su aplicación para el año gravable 2025 aplicará no solo para operaciones relacionadas con “acciones” sino también para operaciones relacionadas con “cuotas o partes de interés social”.</w:t>
      </w:r>
      <w:r w:rsidR="00911157">
        <w:rPr>
          <w:rFonts w:ascii="Cambria" w:hAnsi="Cambria"/>
          <w:color w:val="000000" w:themeColor="text1"/>
          <w:sz w:val="18"/>
          <w:szCs w:val="18"/>
        </w:rPr>
        <w:t xml:space="preserve"> Además, se agregó un nuevo parágrafo 5 al mismo artículo 1.3.5.4.1 de la Resolución 227 de septiembre de 2025 para establecer que l</w:t>
      </w:r>
      <w:r w:rsidR="00911157" w:rsidRPr="00911157">
        <w:rPr>
          <w:rFonts w:ascii="Cambria" w:hAnsi="Cambria"/>
          <w:color w:val="000000" w:themeColor="text1"/>
          <w:sz w:val="18"/>
          <w:szCs w:val="18"/>
        </w:rPr>
        <w:t xml:space="preserve">as propiedades horizontales no deberán enviar </w:t>
      </w:r>
      <w:r w:rsidR="00911157">
        <w:rPr>
          <w:rFonts w:ascii="Cambria" w:hAnsi="Cambria"/>
          <w:color w:val="000000" w:themeColor="text1"/>
          <w:sz w:val="18"/>
          <w:szCs w:val="18"/>
        </w:rPr>
        <w:t xml:space="preserve">en el </w:t>
      </w:r>
      <w:r w:rsidR="00911157" w:rsidRPr="00911157">
        <w:rPr>
          <w:rFonts w:ascii="Cambria" w:hAnsi="Cambria"/>
          <w:color w:val="000000" w:themeColor="text1"/>
          <w:sz w:val="18"/>
          <w:szCs w:val="18"/>
        </w:rPr>
        <w:t xml:space="preserve">formato 1007 </w:t>
      </w:r>
      <w:r w:rsidR="00911157">
        <w:rPr>
          <w:rFonts w:ascii="Cambria" w:hAnsi="Cambria"/>
          <w:color w:val="000000" w:themeColor="text1"/>
          <w:sz w:val="18"/>
          <w:szCs w:val="18"/>
        </w:rPr>
        <w:t>los valores por</w:t>
      </w:r>
      <w:r w:rsidR="00911157" w:rsidRPr="00911157">
        <w:rPr>
          <w:rFonts w:ascii="Cambria" w:hAnsi="Cambria"/>
          <w:color w:val="000000" w:themeColor="text1"/>
          <w:sz w:val="18"/>
          <w:szCs w:val="18"/>
        </w:rPr>
        <w:t xml:space="preserve"> recaudos originados por las cuotas de administración ordinarias y extraordinarias, intereses de mora por el no pago de estas expensas y las multas originadas por el desarrollo del objeto social del régimen de propiedad horizontal.</w:t>
      </w:r>
    </w:p>
    <w:p w:rsidR="00AD455E" w:rsidRDefault="00AD455E" w:rsidP="00AD455E">
      <w:pPr>
        <w:pStyle w:val="Prrafodelista"/>
        <w:tabs>
          <w:tab w:val="left" w:pos="851"/>
        </w:tabs>
        <w:ind w:left="720"/>
        <w:contextualSpacing/>
        <w:jc w:val="both"/>
        <w:rPr>
          <w:rFonts w:ascii="Cambria" w:hAnsi="Cambria"/>
          <w:color w:val="000000" w:themeColor="text1"/>
          <w:sz w:val="18"/>
          <w:szCs w:val="18"/>
        </w:rPr>
      </w:pPr>
    </w:p>
    <w:p w:rsidR="00AD455E" w:rsidRPr="001A19FD" w:rsidRDefault="00AD455E" w:rsidP="00AD455E">
      <w:pPr>
        <w:pStyle w:val="Prrafodelista"/>
        <w:numPr>
          <w:ilvl w:val="0"/>
          <w:numId w:val="1"/>
        </w:numPr>
        <w:contextualSpacing/>
        <w:rPr>
          <w:rFonts w:ascii="Cambria" w:hAnsi="Cambria"/>
          <w:sz w:val="18"/>
          <w:szCs w:val="18"/>
          <w:u w:val="single"/>
        </w:rPr>
      </w:pPr>
      <w:r>
        <w:rPr>
          <w:rFonts w:ascii="Cambria" w:hAnsi="Cambria"/>
          <w:sz w:val="18"/>
          <w:szCs w:val="18"/>
        </w:rPr>
        <w:t xml:space="preserve">De acuerdo con </w:t>
      </w:r>
      <w:r w:rsidRPr="00AD455E">
        <w:rPr>
          <w:rFonts w:ascii="Cambria" w:hAnsi="Cambria"/>
          <w:sz w:val="18"/>
          <w:szCs w:val="18"/>
        </w:rPr>
        <w:t>el artículo 1.3.5.5.1 de la Resolución Unificada 227 de septiembre 23 de 2025, el cual contiene las instrucciones para elaborar el reporte por concepto del IVA que se haya tomado como IVA descontable en las declaraciones del IVA</w:t>
      </w:r>
      <w:r>
        <w:rPr>
          <w:rFonts w:ascii="Cambria" w:hAnsi="Cambria"/>
          <w:sz w:val="18"/>
          <w:szCs w:val="18"/>
        </w:rPr>
        <w:t>, se estableció</w:t>
      </w:r>
      <w:r w:rsidRPr="00AD455E">
        <w:rPr>
          <w:rFonts w:ascii="Cambria" w:hAnsi="Cambria"/>
          <w:sz w:val="18"/>
          <w:szCs w:val="18"/>
        </w:rPr>
        <w:t xml:space="preserve"> que ya no se volverá a usar el formato 1005 versión 8 que se había utilizado por primera vez en los reportes del año gravable 2024 y </w:t>
      </w:r>
      <w:r>
        <w:rPr>
          <w:rFonts w:ascii="Cambria" w:hAnsi="Cambria"/>
          <w:sz w:val="18"/>
          <w:szCs w:val="18"/>
        </w:rPr>
        <w:t xml:space="preserve">en el </w:t>
      </w:r>
      <w:r w:rsidRPr="00AD455E">
        <w:rPr>
          <w:rFonts w:ascii="Cambria" w:hAnsi="Cambria"/>
          <w:sz w:val="18"/>
          <w:szCs w:val="18"/>
        </w:rPr>
        <w:t xml:space="preserve">cual se incluía una columna para informar la parte del IVA pagado o causado a un tercero que no se pudo tomar como IVA descontable producto de haber sometido dicho IVA al prorrateo del artículo 490 del ET. Por tanto, ahora se usará el formato 1005 versión 9, el cual es igual al formato 1005 versión 7 que se había usado para los reportes del año gravable 2023 y en </w:t>
      </w:r>
      <w:r>
        <w:rPr>
          <w:rFonts w:ascii="Cambria" w:hAnsi="Cambria"/>
          <w:sz w:val="18"/>
          <w:szCs w:val="18"/>
        </w:rPr>
        <w:t xml:space="preserve">el </w:t>
      </w:r>
      <w:r w:rsidRPr="00AD455E">
        <w:rPr>
          <w:rFonts w:ascii="Cambria" w:hAnsi="Cambria"/>
          <w:sz w:val="18"/>
          <w:szCs w:val="18"/>
        </w:rPr>
        <w:t xml:space="preserve">cual ya no se incluye la mencionada columna. Al respecto, en los considerandos de la Resolución </w:t>
      </w:r>
      <w:r>
        <w:rPr>
          <w:rFonts w:ascii="Cambria" w:hAnsi="Cambria"/>
          <w:sz w:val="18"/>
          <w:szCs w:val="18"/>
        </w:rPr>
        <w:t>233</w:t>
      </w:r>
      <w:r w:rsidRPr="00AD455E">
        <w:rPr>
          <w:rFonts w:ascii="Cambria" w:hAnsi="Cambria"/>
          <w:sz w:val="18"/>
          <w:szCs w:val="18"/>
        </w:rPr>
        <w:t xml:space="preserve"> de octubre 30 de 2025 se indic</w:t>
      </w:r>
      <w:r>
        <w:rPr>
          <w:rFonts w:ascii="Cambria" w:hAnsi="Cambria"/>
          <w:sz w:val="18"/>
          <w:szCs w:val="18"/>
        </w:rPr>
        <w:t>ó</w:t>
      </w:r>
      <w:r w:rsidRPr="00AD455E">
        <w:rPr>
          <w:rFonts w:ascii="Cambria" w:hAnsi="Cambria"/>
          <w:sz w:val="18"/>
          <w:szCs w:val="18"/>
        </w:rPr>
        <w:t xml:space="preserve"> que haber incluido esa columna en el formato 1005 versión 8 que se usó en los reportes del año gravable 2024 había provocado una duplicidad de información pues la parte del IVA pagado a un tercero y que no se pudo tomar como descontable en las declaraciones del IVA siempre ha quedado reportado en otra columna especial dentro del formato 1001.</w:t>
      </w:r>
    </w:p>
    <w:p w:rsidR="001A19FD" w:rsidRPr="001A19FD" w:rsidRDefault="001A19FD" w:rsidP="001A19FD">
      <w:pPr>
        <w:pStyle w:val="Prrafodelista"/>
        <w:ind w:left="720"/>
        <w:contextualSpacing/>
        <w:rPr>
          <w:rFonts w:ascii="Cambria" w:hAnsi="Cambria"/>
          <w:sz w:val="18"/>
          <w:szCs w:val="18"/>
          <w:u w:val="single"/>
        </w:rPr>
      </w:pPr>
    </w:p>
    <w:p w:rsidR="001A19FD" w:rsidRPr="006247AF" w:rsidRDefault="001A19FD" w:rsidP="001A19FD">
      <w:pPr>
        <w:pStyle w:val="Prrafodelista"/>
        <w:numPr>
          <w:ilvl w:val="0"/>
          <w:numId w:val="1"/>
        </w:numPr>
        <w:contextualSpacing/>
        <w:jc w:val="both"/>
        <w:rPr>
          <w:rFonts w:ascii="Cambria" w:hAnsi="Cambria"/>
          <w:sz w:val="18"/>
          <w:szCs w:val="18"/>
          <w:u w:val="single"/>
        </w:rPr>
      </w:pPr>
      <w:r w:rsidRPr="001A19FD">
        <w:rPr>
          <w:rFonts w:ascii="Cambria" w:hAnsi="Cambria"/>
          <w:sz w:val="18"/>
          <w:szCs w:val="18"/>
        </w:rPr>
        <w:t xml:space="preserve">Se modificó  </w:t>
      </w:r>
      <w:hyperlink r:id="rId5" w:anchor="1.3.5.7.1" w:history="1">
        <w:r w:rsidRPr="001A19FD">
          <w:rPr>
            <w:rStyle w:val="Hipervnculo"/>
            <w:rFonts w:ascii="Cambria" w:hAnsi="Cambria"/>
            <w:sz w:val="18"/>
            <w:szCs w:val="18"/>
          </w:rPr>
          <w:t>el parágrafo del artículo 1.3.5.7.1 de la Resolución Unificada 227 de septiembre 23 de 2025</w:t>
        </w:r>
      </w:hyperlink>
      <w:r w:rsidRPr="001A19FD">
        <w:rPr>
          <w:rFonts w:ascii="Cambria" w:hAnsi="Cambria"/>
          <w:sz w:val="18"/>
          <w:szCs w:val="18"/>
        </w:rPr>
        <w:t xml:space="preserve"> el cual regula el reporte que se realiza en el formato 1008 con el detalle de las cuentas por cobrar del </w:t>
      </w:r>
      <w:proofErr w:type="spellStart"/>
      <w:r w:rsidRPr="001A19FD">
        <w:rPr>
          <w:rFonts w:ascii="Cambria" w:hAnsi="Cambria"/>
          <w:sz w:val="18"/>
          <w:szCs w:val="18"/>
        </w:rPr>
        <w:t>reportante</w:t>
      </w:r>
      <w:proofErr w:type="spellEnd"/>
      <w:r w:rsidRPr="001A19FD">
        <w:rPr>
          <w:rFonts w:ascii="Cambria" w:hAnsi="Cambria"/>
          <w:sz w:val="18"/>
          <w:szCs w:val="18"/>
        </w:rPr>
        <w:t xml:space="preserve"> a diciembre 31. La modificación consistió en corregir el yerro mecanográfico que tenía la norma pues en la misma se leía lo siguiente (los subrayados son nuestros): “</w:t>
      </w:r>
      <w:r w:rsidRPr="001A19FD">
        <w:rPr>
          <w:rFonts w:ascii="Cambria" w:hAnsi="Cambria"/>
          <w:i/>
          <w:iCs/>
          <w:color w:val="0070C0"/>
          <w:sz w:val="18"/>
          <w:szCs w:val="18"/>
        </w:rPr>
        <w:t xml:space="preserve">Parágrafo 1. Los saldos de los créditos cuya cuantía sea menor a </w:t>
      </w:r>
      <w:r w:rsidRPr="001A19FD">
        <w:rPr>
          <w:rFonts w:ascii="Cambria" w:hAnsi="Cambria"/>
          <w:b/>
          <w:bCs/>
          <w:i/>
          <w:iCs/>
          <w:color w:val="0070C0"/>
          <w:sz w:val="18"/>
          <w:szCs w:val="18"/>
          <w:u w:val="single"/>
        </w:rPr>
        <w:t>diecisiete (12)</w:t>
      </w:r>
      <w:r w:rsidRPr="001A19FD">
        <w:rPr>
          <w:rFonts w:ascii="Cambria" w:hAnsi="Cambria"/>
          <w:i/>
          <w:iCs/>
          <w:color w:val="0070C0"/>
          <w:sz w:val="18"/>
          <w:szCs w:val="18"/>
        </w:rPr>
        <w:t xml:space="preserve"> Unidades de Valor Tributario (UVT) (del año gravable a reportar) se informarán acumulados en un solo registro con identificación 222222222, razón social “CUANTÍAS MENORES” y tipo documento 43, en el concepto a que correspondan, reportando la dirección del informante”.</w:t>
      </w:r>
      <w:r w:rsidRPr="001A19FD">
        <w:rPr>
          <w:rFonts w:ascii="Cambria" w:hAnsi="Cambria"/>
          <w:color w:val="0070C0"/>
          <w:sz w:val="18"/>
          <w:szCs w:val="18"/>
        </w:rPr>
        <w:t xml:space="preserve"> </w:t>
      </w:r>
      <w:r w:rsidRPr="001A19FD">
        <w:rPr>
          <w:rFonts w:ascii="Cambria" w:hAnsi="Cambria"/>
          <w:sz w:val="18"/>
          <w:szCs w:val="18"/>
        </w:rPr>
        <w:t xml:space="preserve">Pero ahora establece lo siguiente (el subrayado es. nuestro): </w:t>
      </w:r>
      <w:r w:rsidRPr="001A19FD">
        <w:rPr>
          <w:rFonts w:ascii="Cambria" w:hAnsi="Cambria"/>
          <w:i/>
          <w:iCs/>
          <w:color w:val="0070C0"/>
          <w:sz w:val="18"/>
          <w:szCs w:val="18"/>
        </w:rPr>
        <w:t xml:space="preserve">“Parágrafo 1. Los saldos de los créditos cuya cuantía sea menor a </w:t>
      </w:r>
      <w:r w:rsidRPr="001A19FD">
        <w:rPr>
          <w:rFonts w:ascii="Cambria" w:hAnsi="Cambria"/>
          <w:b/>
          <w:bCs/>
          <w:i/>
          <w:iCs/>
          <w:color w:val="0070C0"/>
          <w:sz w:val="18"/>
          <w:szCs w:val="18"/>
          <w:u w:val="single"/>
        </w:rPr>
        <w:t>doce (12)</w:t>
      </w:r>
      <w:r w:rsidRPr="001A19FD">
        <w:rPr>
          <w:rFonts w:ascii="Cambria" w:hAnsi="Cambria"/>
          <w:i/>
          <w:iCs/>
          <w:color w:val="0070C0"/>
          <w:sz w:val="18"/>
          <w:szCs w:val="18"/>
        </w:rPr>
        <w:t xml:space="preserve"> Unidades de Valor Tributario (UVT) (del año gravable a reportar) se informarán acumulados en un solo registro con identificación 222222222, razón social “CUANTÍAS MENORES” y tipo documento 43, en el concepto a que correspondan, reportando la dirección del informante</w:t>
      </w:r>
      <w:r w:rsidRPr="001A19FD">
        <w:rPr>
          <w:rFonts w:ascii="Cambria" w:hAnsi="Cambria"/>
          <w:sz w:val="18"/>
          <w:szCs w:val="18"/>
        </w:rPr>
        <w:t>”.</w:t>
      </w:r>
    </w:p>
    <w:p w:rsidR="006247AF" w:rsidRPr="006247AF" w:rsidRDefault="006247AF" w:rsidP="006247AF">
      <w:pPr>
        <w:pStyle w:val="Prrafodelista"/>
        <w:ind w:left="720"/>
        <w:contextualSpacing/>
        <w:jc w:val="both"/>
        <w:rPr>
          <w:rFonts w:ascii="Cambria" w:hAnsi="Cambria"/>
          <w:sz w:val="18"/>
          <w:szCs w:val="18"/>
          <w:u w:val="single"/>
        </w:rPr>
      </w:pPr>
    </w:p>
    <w:p w:rsidR="006247AF" w:rsidRPr="006247AF" w:rsidRDefault="006247AF" w:rsidP="006247AF">
      <w:pPr>
        <w:pStyle w:val="Prrafodelista"/>
        <w:numPr>
          <w:ilvl w:val="0"/>
          <w:numId w:val="1"/>
        </w:numPr>
        <w:contextualSpacing/>
        <w:rPr>
          <w:rFonts w:ascii="Cambria" w:hAnsi="Cambria"/>
          <w:sz w:val="18"/>
          <w:szCs w:val="18"/>
          <w:u w:val="single"/>
        </w:rPr>
      </w:pPr>
      <w:r w:rsidRPr="006247AF">
        <w:rPr>
          <w:rFonts w:ascii="Cambria" w:hAnsi="Cambria"/>
          <w:sz w:val="18"/>
          <w:szCs w:val="18"/>
        </w:rPr>
        <w:lastRenderedPageBreak/>
        <w:t xml:space="preserve">Se modificaron los artículo 1.3.5.10.1, 1.3.5.10.2, 1.3.5.10.3, 1.3.1.10.5 y 1.3.1.0.6 de la Resolución Unificada 227 de septiembre 23 de 2025 </w:t>
      </w:r>
      <w:r>
        <w:rPr>
          <w:rFonts w:ascii="Cambria" w:hAnsi="Cambria"/>
          <w:sz w:val="18"/>
          <w:szCs w:val="18"/>
        </w:rPr>
        <w:t>los</w:t>
      </w:r>
      <w:r w:rsidRPr="006247AF">
        <w:rPr>
          <w:rFonts w:ascii="Cambria" w:hAnsi="Cambria"/>
          <w:sz w:val="18"/>
          <w:szCs w:val="18"/>
        </w:rPr>
        <w:t xml:space="preserve"> cual</w:t>
      </w:r>
      <w:r>
        <w:rPr>
          <w:rFonts w:ascii="Cambria" w:hAnsi="Cambria"/>
          <w:sz w:val="18"/>
          <w:szCs w:val="18"/>
        </w:rPr>
        <w:t>es</w:t>
      </w:r>
      <w:r w:rsidRPr="006247AF">
        <w:rPr>
          <w:rFonts w:ascii="Cambria" w:hAnsi="Cambria"/>
          <w:sz w:val="18"/>
          <w:szCs w:val="18"/>
        </w:rPr>
        <w:t xml:space="preserve"> regula</w:t>
      </w:r>
      <w:r>
        <w:rPr>
          <w:rFonts w:ascii="Cambria" w:hAnsi="Cambria"/>
          <w:sz w:val="18"/>
          <w:szCs w:val="18"/>
        </w:rPr>
        <w:t>n</w:t>
      </w:r>
      <w:r w:rsidRPr="006247AF">
        <w:rPr>
          <w:rFonts w:ascii="Cambria" w:hAnsi="Cambria"/>
          <w:sz w:val="18"/>
          <w:szCs w:val="18"/>
        </w:rPr>
        <w:t xml:space="preserve"> el reporte, dentro de los formatos 1011 y 1012,  de “otros datos” de las declaraciones de renta, o de la declaración de ingresos y patrimonio, o de la declaración anual del régimen simple. La modificación consistió en dejar de exigir cinco datos importantes (los “saldos fiscales de cuentas de bancarias a diciembre 31”, los “saldos fiscales de inversiones a diciembre 31”, los “saldos fiscales de acciones y aportes a diciembre 31”, los “montos de las inversiones anuales realizadas por utilizar los beneficios como los de las ZOMAC o las mega inversiones” y los “valores utilizados fiscalmente por concepto de rentas exentas”), a las entidades que figuran en el numeral 9 del artículo 1.3.1.1 de la misma Resolución Unificada 227 de septiembre de 2025. Dicho numeral aplica a las entidades no contribuyentes de renta del artículo 22 del ET las cuales no presentan ni declaración de renta ni declaración de ingresos y patrimonio. Por tanto, sino presentan ni siquiera una “declaración de ingresos y patrimonio”, no era lógico estarles pidiendo información sobre ciertos activos a diciembre 31 que nunca se declaraban fiscalmente.</w:t>
      </w:r>
    </w:p>
    <w:p w:rsidR="006247AF" w:rsidRPr="006247AF" w:rsidRDefault="006247AF" w:rsidP="006247AF">
      <w:pPr>
        <w:pStyle w:val="Prrafodelista"/>
        <w:ind w:left="720"/>
        <w:contextualSpacing/>
        <w:rPr>
          <w:rFonts w:ascii="Cambria" w:hAnsi="Cambria"/>
          <w:sz w:val="18"/>
          <w:szCs w:val="18"/>
          <w:u w:val="single"/>
        </w:rPr>
      </w:pPr>
    </w:p>
    <w:p w:rsidR="006247AF" w:rsidRPr="006247AF" w:rsidRDefault="006247AF" w:rsidP="006247AF">
      <w:pPr>
        <w:pStyle w:val="Prrafodelista"/>
        <w:numPr>
          <w:ilvl w:val="0"/>
          <w:numId w:val="1"/>
        </w:numPr>
        <w:contextualSpacing/>
        <w:rPr>
          <w:rFonts w:ascii="Cambria" w:hAnsi="Cambria"/>
          <w:sz w:val="18"/>
          <w:szCs w:val="18"/>
          <w:u w:val="single"/>
        </w:rPr>
      </w:pPr>
      <w:r w:rsidRPr="006247AF">
        <w:rPr>
          <w:rFonts w:ascii="Cambria" w:hAnsi="Cambria"/>
          <w:sz w:val="18"/>
          <w:szCs w:val="18"/>
        </w:rPr>
        <w:t xml:space="preserve">Se modificó el artículo 1.3.5.10.4 de la Resolución Unificada 227 de septiembre 23 de 2025 el cual regula el reporte, dentro del formato 1011,  de los saldos fiscales a diciembre 31 de la “propiedad, planta y equipo” y “otros activos”. La modificación consistió en dejar de existir dicho reporte a las entidades del numeral 9 del artículo 1.3.1.1 de la misma Resolución 227 de septiembre de 2023 las cuales son entidades no contribuyentes de renta que no presentan ni siquiera una declaración de ingresos y patrimonio. Adicionalmente, se modificó el listado de conceptos con los cuales se reportarán los saldos fiscales de “otros activos” pues se creó el nuevo concepto 1527 para reportar el saldo fiscal de los inventarios a diciembre 31, y el concepto 1528 para reportar el saldo fiscal de los activos poseídos a través de los contratos de colaboración empresarial. Además, se modificaron las instrucciones para la utilización del concepto 1526 (Valor patrimonial de “otros activos no reportados con los demás conceptos”) aclarando que dicho concepto no se debe usar para reportar los saldos fiscales de las “cuentas por cobrar a diciembre 31” (pues ya están reportados en el formato 1008 del artículo 1.3.5.7.1 de la Resolución), ni los saldos fiscales de las “cuentas bancarias a diciembre 31” (pues ya están reportados en el formato 1012 del artículo 1.3.5.10.1 de la Resolución), ni los saldos fiscales de las “inversiones a diciembre 31” (pues ya están reportados en el formato 1012 del artículo 1.3.5.10.2 de la Resolución), ni los saldos fiscales de las “acciones y aportes a diciembre 31” (pues ya están reportados en el formato 1012 artículo 1.3.5.10.3 de la Resolución). </w:t>
      </w:r>
    </w:p>
    <w:p w:rsidR="006247AF" w:rsidRPr="006247AF" w:rsidRDefault="006247AF" w:rsidP="006247AF">
      <w:pPr>
        <w:pStyle w:val="Prrafodelista"/>
        <w:ind w:left="360"/>
        <w:rPr>
          <w:rFonts w:ascii="Cambria" w:hAnsi="Cambria"/>
          <w:sz w:val="18"/>
          <w:szCs w:val="18"/>
          <w:u w:val="single"/>
        </w:rPr>
      </w:pPr>
    </w:p>
    <w:p w:rsidR="006247AF" w:rsidRPr="006247AF" w:rsidRDefault="006247AF" w:rsidP="006247AF">
      <w:pPr>
        <w:pStyle w:val="Prrafodelista"/>
        <w:numPr>
          <w:ilvl w:val="0"/>
          <w:numId w:val="1"/>
        </w:numPr>
        <w:contextualSpacing/>
        <w:rPr>
          <w:rFonts w:ascii="Cambria" w:hAnsi="Cambria"/>
          <w:sz w:val="18"/>
          <w:szCs w:val="18"/>
          <w:u w:val="single"/>
        </w:rPr>
      </w:pPr>
      <w:r w:rsidRPr="006247AF">
        <w:rPr>
          <w:rFonts w:ascii="Cambria" w:hAnsi="Cambria"/>
          <w:sz w:val="18"/>
          <w:szCs w:val="18"/>
        </w:rPr>
        <w:t xml:space="preserve">Se modificó el artículo 1.3.5.10.7 de la Resolución Unificada 227 de septiembre 23 de 2025 el cual regula el reporte, dentro del formato 1011,  de los valores por costos y deducciones especiales que se hayan tomado fiscalmente en las declaraciones de renta. La modificación consistió en dejar de existir dicho reporte a las entidades del numeral 9 del artículo 1.3.1.1 de la misma Resolución 227 de septiembre de 2023 las cuales son entidades no contribuyentes de renta que no presentan ni siquiera una declaración de ingresos y patrimonio. Adicionalmente, se modificó el listado de conceptos que se utilizan para hacer dicho reporte agregando cinco nuevos conceptos, a saber: </w:t>
      </w:r>
      <w:r w:rsidRPr="006247AF">
        <w:rPr>
          <w:rFonts w:ascii="Cambria" w:hAnsi="Cambria"/>
          <w:b/>
          <w:bCs/>
          <w:i/>
          <w:iCs/>
          <w:sz w:val="18"/>
          <w:szCs w:val="18"/>
        </w:rPr>
        <w:t xml:space="preserve">8426 </w:t>
      </w:r>
      <w:r w:rsidRPr="006247AF">
        <w:rPr>
          <w:rFonts w:ascii="Cambria" w:hAnsi="Cambria"/>
          <w:sz w:val="18"/>
          <w:szCs w:val="18"/>
        </w:rPr>
        <w:t xml:space="preserve">(Costo en la enajenación de activos fijos poseídos por dos o más años. E.T., art. 300), </w:t>
      </w:r>
      <w:r w:rsidRPr="006247AF">
        <w:rPr>
          <w:rFonts w:ascii="Cambria" w:hAnsi="Cambria"/>
          <w:b/>
          <w:bCs/>
          <w:i/>
          <w:iCs/>
          <w:sz w:val="18"/>
          <w:szCs w:val="18"/>
        </w:rPr>
        <w:t>8427</w:t>
      </w:r>
      <w:r w:rsidRPr="006247AF">
        <w:rPr>
          <w:rFonts w:ascii="Cambria" w:hAnsi="Cambria"/>
          <w:sz w:val="18"/>
          <w:szCs w:val="18"/>
        </w:rPr>
        <w:t xml:space="preserve"> (Deducción por inversiones en proyectos dirigidos a la gestión eficiente de la energía. L. 1715/2014, art. 11, diferente al reportado en el concepto 8274), </w:t>
      </w:r>
      <w:r w:rsidRPr="006247AF">
        <w:rPr>
          <w:rFonts w:ascii="Cambria" w:hAnsi="Cambria"/>
          <w:b/>
          <w:bCs/>
          <w:i/>
          <w:iCs/>
          <w:sz w:val="18"/>
          <w:szCs w:val="18"/>
        </w:rPr>
        <w:t>8428</w:t>
      </w:r>
      <w:r w:rsidRPr="006247AF">
        <w:rPr>
          <w:rFonts w:ascii="Cambria" w:hAnsi="Cambria"/>
          <w:sz w:val="18"/>
          <w:szCs w:val="18"/>
        </w:rPr>
        <w:t xml:space="preserve"> (Deducción por depreciación de maquinarias, equipos y obras civiles de proyectos dirigidos a la gestión eficiente de la energía. L. 1715/2014 art. 14, diferente al reportado en el concepto 8275), </w:t>
      </w:r>
      <w:r w:rsidRPr="006247AF">
        <w:rPr>
          <w:rFonts w:ascii="Cambria" w:hAnsi="Cambria"/>
          <w:b/>
          <w:bCs/>
          <w:i/>
          <w:iCs/>
          <w:sz w:val="18"/>
          <w:szCs w:val="18"/>
        </w:rPr>
        <w:t>8429</w:t>
      </w:r>
      <w:r w:rsidRPr="006247AF">
        <w:rPr>
          <w:rFonts w:ascii="Cambria" w:hAnsi="Cambria"/>
          <w:sz w:val="18"/>
          <w:szCs w:val="18"/>
        </w:rPr>
        <w:t xml:space="preserve"> (Deducción por inversiones en proyectos de hidrógeno verde, azul o blanco. Ley 2099/2021, diferente al reportado en el concepto 8274) y </w:t>
      </w:r>
      <w:r w:rsidRPr="006247AF">
        <w:rPr>
          <w:rFonts w:ascii="Cambria" w:hAnsi="Cambria"/>
          <w:b/>
          <w:bCs/>
          <w:i/>
          <w:iCs/>
          <w:sz w:val="18"/>
          <w:szCs w:val="18"/>
        </w:rPr>
        <w:t>8430</w:t>
      </w:r>
      <w:r w:rsidRPr="006247AF">
        <w:rPr>
          <w:rFonts w:ascii="Cambria" w:hAnsi="Cambria"/>
          <w:sz w:val="18"/>
          <w:szCs w:val="18"/>
        </w:rPr>
        <w:t xml:space="preserve"> (Deducción por depreciación de maquinarias, equipos y obras civiles de proyectos de hidrógeno verde, azul o blanco. L. 1715/2014 art. 14, modificado por Ley 2099/2021 diferente al reportado en el concepto 8275).</w:t>
      </w:r>
    </w:p>
    <w:p w:rsidR="004F4BAE" w:rsidRPr="00343767" w:rsidRDefault="004F4BAE" w:rsidP="004F4BAE">
      <w:pPr>
        <w:pStyle w:val="Prrafodelista"/>
        <w:jc w:val="both"/>
        <w:rPr>
          <w:rFonts w:ascii="Cambria" w:hAnsi="Cambria"/>
          <w:i/>
          <w:iCs/>
          <w:color w:val="0070C0"/>
          <w:sz w:val="18"/>
          <w:szCs w:val="18"/>
        </w:rPr>
      </w:pPr>
    </w:p>
    <w:p w:rsidR="004F4BAE" w:rsidRPr="00343767" w:rsidRDefault="0015497C" w:rsidP="004F4BAE">
      <w:pPr>
        <w:pStyle w:val="Prrafodelista"/>
        <w:numPr>
          <w:ilvl w:val="0"/>
          <w:numId w:val="1"/>
        </w:numPr>
        <w:tabs>
          <w:tab w:val="left" w:pos="851"/>
        </w:tabs>
        <w:contextualSpacing/>
        <w:jc w:val="both"/>
        <w:rPr>
          <w:rFonts w:ascii="Cambria" w:hAnsi="Cambria"/>
          <w:i/>
          <w:iCs/>
          <w:color w:val="0070C0"/>
          <w:sz w:val="18"/>
          <w:szCs w:val="18"/>
        </w:rPr>
      </w:pPr>
      <w:r>
        <w:rPr>
          <w:rFonts w:ascii="Cambria" w:hAnsi="Cambria"/>
          <w:sz w:val="18"/>
          <w:szCs w:val="18"/>
        </w:rPr>
        <w:t>De acuerdo con el</w:t>
      </w:r>
      <w:r w:rsidR="004F4BAE" w:rsidRPr="00343767">
        <w:rPr>
          <w:rFonts w:ascii="Cambria" w:hAnsi="Cambria"/>
          <w:sz w:val="18"/>
          <w:szCs w:val="18"/>
        </w:rPr>
        <w:t xml:space="preserve">  artículo </w:t>
      </w:r>
      <w:r>
        <w:rPr>
          <w:rFonts w:ascii="Cambria" w:hAnsi="Cambria"/>
          <w:sz w:val="18"/>
          <w:szCs w:val="18"/>
        </w:rPr>
        <w:t>1.3.5.10.8</w:t>
      </w:r>
      <w:r w:rsidR="004F4BAE" w:rsidRPr="00343767">
        <w:rPr>
          <w:rFonts w:ascii="Cambria" w:hAnsi="Cambria"/>
          <w:sz w:val="18"/>
          <w:szCs w:val="18"/>
        </w:rPr>
        <w:t xml:space="preserve"> de la Resolución </w:t>
      </w:r>
      <w:r w:rsidR="00573B77">
        <w:rPr>
          <w:rFonts w:ascii="Cambria" w:hAnsi="Cambria"/>
          <w:sz w:val="18"/>
          <w:szCs w:val="18"/>
        </w:rPr>
        <w:t xml:space="preserve">227 de septiembre de 2025 </w:t>
      </w:r>
      <w:r>
        <w:rPr>
          <w:rFonts w:ascii="Cambria" w:hAnsi="Cambria"/>
          <w:sz w:val="18"/>
          <w:szCs w:val="18"/>
        </w:rPr>
        <w:t>(</w:t>
      </w:r>
      <w:r w:rsidR="004F4BAE" w:rsidRPr="00343767">
        <w:rPr>
          <w:rFonts w:ascii="Cambria" w:hAnsi="Cambria"/>
          <w:sz w:val="18"/>
          <w:szCs w:val="18"/>
        </w:rPr>
        <w:t>el cual contiene las instrucciones para elaborar el formato 1011 v.6 con otros datos de las declaraciones de renta, o de ingresos o patrimonio o del IVA</w:t>
      </w:r>
      <w:r>
        <w:rPr>
          <w:rFonts w:ascii="Cambria" w:hAnsi="Cambria"/>
          <w:sz w:val="18"/>
          <w:szCs w:val="18"/>
        </w:rPr>
        <w:t xml:space="preserve">), </w:t>
      </w:r>
      <w:r>
        <w:rPr>
          <w:rFonts w:ascii="Cambria" w:hAnsi="Cambria"/>
          <w:sz w:val="18"/>
          <w:szCs w:val="18"/>
        </w:rPr>
        <w:t>y el parágrafo 5 del artículo 1.3.9.1.3 de la misma Resolución 227 de septiembre de 2025</w:t>
      </w:r>
      <w:r>
        <w:rPr>
          <w:rFonts w:ascii="Cambria" w:hAnsi="Cambria"/>
          <w:sz w:val="18"/>
          <w:szCs w:val="18"/>
        </w:rPr>
        <w:t>, s</w:t>
      </w:r>
      <w:r w:rsidR="004F4BAE" w:rsidRPr="00343767">
        <w:rPr>
          <w:rFonts w:ascii="Cambria" w:hAnsi="Cambria"/>
          <w:sz w:val="18"/>
          <w:szCs w:val="18"/>
        </w:rPr>
        <w:t xml:space="preserve">e dispuso que a partir de los reportes del año gravable 2025 se deberán tomar en cuenta </w:t>
      </w:r>
      <w:r w:rsidR="006247AF">
        <w:rPr>
          <w:rFonts w:ascii="Cambria" w:hAnsi="Cambria"/>
          <w:sz w:val="18"/>
          <w:szCs w:val="18"/>
        </w:rPr>
        <w:t>los</w:t>
      </w:r>
      <w:r w:rsidR="004F4BAE" w:rsidRPr="00343767">
        <w:rPr>
          <w:rFonts w:ascii="Cambria" w:hAnsi="Cambria"/>
          <w:sz w:val="18"/>
          <w:szCs w:val="18"/>
        </w:rPr>
        <w:t xml:space="preserve"> nuevo</w:t>
      </w:r>
      <w:r w:rsidR="006247AF">
        <w:rPr>
          <w:rFonts w:ascii="Cambria" w:hAnsi="Cambria"/>
          <w:sz w:val="18"/>
          <w:szCs w:val="18"/>
        </w:rPr>
        <w:t>s</w:t>
      </w:r>
      <w:r w:rsidR="004F4BAE" w:rsidRPr="00343767">
        <w:rPr>
          <w:rFonts w:ascii="Cambria" w:hAnsi="Cambria"/>
          <w:sz w:val="18"/>
          <w:szCs w:val="18"/>
        </w:rPr>
        <w:t xml:space="preserve"> concepto</w:t>
      </w:r>
      <w:r w:rsidR="006247AF">
        <w:rPr>
          <w:rFonts w:ascii="Cambria" w:hAnsi="Cambria"/>
          <w:sz w:val="18"/>
          <w:szCs w:val="18"/>
        </w:rPr>
        <w:t>s</w:t>
      </w:r>
      <w:r w:rsidR="004F4BAE" w:rsidRPr="00343767">
        <w:rPr>
          <w:rFonts w:ascii="Cambria" w:hAnsi="Cambria"/>
          <w:sz w:val="18"/>
          <w:szCs w:val="18"/>
        </w:rPr>
        <w:t xml:space="preserve"> </w:t>
      </w:r>
      <w:r w:rsidR="004F4BAE" w:rsidRPr="00343767">
        <w:rPr>
          <w:rFonts w:ascii="Cambria" w:hAnsi="Cambria"/>
          <w:i/>
          <w:iCs/>
          <w:color w:val="0070C0"/>
          <w:sz w:val="18"/>
          <w:szCs w:val="18"/>
        </w:rPr>
        <w:t>“</w:t>
      </w:r>
      <w:r w:rsidR="004F4BAE">
        <w:rPr>
          <w:rFonts w:ascii="Cambria" w:hAnsi="Cambria"/>
          <w:i/>
          <w:iCs/>
          <w:color w:val="0070C0"/>
          <w:sz w:val="18"/>
          <w:szCs w:val="18"/>
        </w:rPr>
        <w:t>9073</w:t>
      </w:r>
      <w:r w:rsidR="004F4BAE" w:rsidRPr="00343767">
        <w:rPr>
          <w:rFonts w:ascii="Cambria" w:hAnsi="Cambria"/>
          <w:i/>
          <w:iCs/>
          <w:color w:val="0070C0"/>
          <w:sz w:val="18"/>
          <w:szCs w:val="18"/>
        </w:rPr>
        <w:t>-Exclusión de IVA en los contratos de obra pública que celebren las personas naturales o jurídicas con las entidades territoriales y/o entidades descentralizadas del orden departamental y municipal. Art. 100 Ley 21 de 1992”</w:t>
      </w:r>
      <w:r w:rsidR="006247AF">
        <w:rPr>
          <w:rFonts w:ascii="Cambria" w:hAnsi="Cambria"/>
          <w:i/>
          <w:iCs/>
          <w:color w:val="0070C0"/>
          <w:sz w:val="18"/>
          <w:szCs w:val="18"/>
        </w:rPr>
        <w:t xml:space="preserve">, </w:t>
      </w:r>
      <w:r w:rsidR="006247AF" w:rsidRPr="006247AF">
        <w:rPr>
          <w:rFonts w:ascii="Cambria" w:hAnsi="Cambria"/>
          <w:i/>
          <w:iCs/>
          <w:color w:val="0070C0"/>
          <w:sz w:val="18"/>
          <w:szCs w:val="18"/>
        </w:rPr>
        <w:t>9074 (Exclusión de IVA en la venta de equipos, entre otros, necesarios para adelantar las acciones y medidas de gestión eficiente de la energía. L. 1715 de 2014 art. 12, diferente al reportado en el concepto 9015)  y 9075 (Exclusión de IVA en la venta de equipos, entre otros, necesarios para proyectos de hidrógeno verde, azul o blanco. L.2099/2021 diferente al reportado en el concepto 9015 y 9074).</w:t>
      </w:r>
      <w:r w:rsidR="004F4BAE" w:rsidRPr="006247AF">
        <w:rPr>
          <w:rFonts w:ascii="Cambria" w:hAnsi="Cambria"/>
          <w:i/>
          <w:iCs/>
          <w:color w:val="0070C0"/>
          <w:sz w:val="18"/>
          <w:szCs w:val="18"/>
        </w:rPr>
        <w:t xml:space="preserve"> (ver el ítem 61 de la tabla de conceptos del artículo</w:t>
      </w:r>
      <w:r w:rsidRPr="006247AF">
        <w:rPr>
          <w:rFonts w:ascii="Cambria" w:hAnsi="Cambria"/>
          <w:i/>
          <w:iCs/>
          <w:color w:val="0070C0"/>
          <w:sz w:val="18"/>
          <w:szCs w:val="18"/>
        </w:rPr>
        <w:t xml:space="preserve"> 1.3.5.10.8</w:t>
      </w:r>
      <w:r w:rsidR="004F4BAE" w:rsidRPr="006247AF">
        <w:rPr>
          <w:rFonts w:ascii="Cambria" w:hAnsi="Cambria"/>
          <w:i/>
          <w:iCs/>
          <w:color w:val="0070C0"/>
          <w:sz w:val="18"/>
          <w:szCs w:val="18"/>
        </w:rPr>
        <w:t xml:space="preserve"> de la Resolución)</w:t>
      </w:r>
      <w:r w:rsidRPr="006247AF">
        <w:rPr>
          <w:rFonts w:ascii="Cambria" w:hAnsi="Cambria"/>
          <w:i/>
          <w:iCs/>
          <w:color w:val="0070C0"/>
          <w:sz w:val="18"/>
          <w:szCs w:val="18"/>
        </w:rPr>
        <w:t>.</w:t>
      </w:r>
    </w:p>
    <w:p w:rsidR="004F4BAE" w:rsidRPr="00343767" w:rsidRDefault="004F4BAE" w:rsidP="004F4BAE">
      <w:pPr>
        <w:pStyle w:val="Prrafodelista"/>
        <w:jc w:val="both"/>
        <w:rPr>
          <w:rFonts w:ascii="Cambria" w:hAnsi="Cambria"/>
          <w:i/>
          <w:iCs/>
          <w:color w:val="0070C0"/>
          <w:sz w:val="18"/>
          <w:szCs w:val="18"/>
        </w:rPr>
      </w:pPr>
    </w:p>
    <w:p w:rsidR="004F4BAE" w:rsidRPr="006567E5" w:rsidRDefault="00573B77" w:rsidP="004F4BAE">
      <w:pPr>
        <w:pStyle w:val="Prrafodelista"/>
        <w:numPr>
          <w:ilvl w:val="0"/>
          <w:numId w:val="1"/>
        </w:numPr>
        <w:tabs>
          <w:tab w:val="left" w:pos="851"/>
        </w:tabs>
        <w:contextualSpacing/>
        <w:jc w:val="both"/>
        <w:rPr>
          <w:rFonts w:ascii="Cambria" w:hAnsi="Cambria"/>
          <w:i/>
          <w:iCs/>
          <w:color w:val="0070C0"/>
          <w:sz w:val="18"/>
          <w:szCs w:val="18"/>
        </w:rPr>
      </w:pPr>
      <w:r>
        <w:rPr>
          <w:rFonts w:ascii="Cambria" w:hAnsi="Cambria"/>
          <w:sz w:val="18"/>
          <w:szCs w:val="18"/>
        </w:rPr>
        <w:lastRenderedPageBreak/>
        <w:t xml:space="preserve">De acuerdo con </w:t>
      </w:r>
      <w:r w:rsidR="004F4BAE" w:rsidRPr="006567E5">
        <w:rPr>
          <w:rFonts w:ascii="Cambria" w:hAnsi="Cambria"/>
          <w:sz w:val="18"/>
          <w:szCs w:val="18"/>
        </w:rPr>
        <w:t xml:space="preserve">el artículo </w:t>
      </w:r>
      <w:r>
        <w:rPr>
          <w:rFonts w:ascii="Cambria" w:hAnsi="Cambria"/>
          <w:sz w:val="18"/>
          <w:szCs w:val="18"/>
        </w:rPr>
        <w:t>1.3.5.11.1</w:t>
      </w:r>
      <w:r w:rsidR="004F4BAE" w:rsidRPr="006567E5">
        <w:rPr>
          <w:rFonts w:ascii="Cambria" w:hAnsi="Cambria"/>
          <w:sz w:val="18"/>
          <w:szCs w:val="18"/>
        </w:rPr>
        <w:t xml:space="preserve"> de la Resolución 162 de octubre de 2023</w:t>
      </w:r>
      <w:r>
        <w:rPr>
          <w:rFonts w:ascii="Cambria" w:hAnsi="Cambria"/>
          <w:sz w:val="18"/>
          <w:szCs w:val="18"/>
        </w:rPr>
        <w:t xml:space="preserve"> (</w:t>
      </w:r>
      <w:r w:rsidR="004F4BAE" w:rsidRPr="006567E5">
        <w:rPr>
          <w:rFonts w:ascii="Cambria" w:hAnsi="Cambria"/>
          <w:sz w:val="18"/>
          <w:szCs w:val="18"/>
        </w:rPr>
        <w:t>el cual contiene las instrucciones para elaborar el formato 1004 v.8 con los datos de los descuentos tributarios utilizados en las declaraciones de renta o del régimen simple</w:t>
      </w:r>
      <w:r>
        <w:rPr>
          <w:rFonts w:ascii="Cambria" w:hAnsi="Cambria"/>
          <w:sz w:val="18"/>
          <w:szCs w:val="18"/>
        </w:rPr>
        <w:t xml:space="preserve">), </w:t>
      </w:r>
      <w:r>
        <w:rPr>
          <w:rFonts w:ascii="Cambria" w:hAnsi="Cambria"/>
          <w:sz w:val="18"/>
          <w:szCs w:val="18"/>
        </w:rPr>
        <w:t>y el parágrafo 5 del artículo 1.3.9.1.3 de la misma Resolución 227 de septiembre de 2025</w:t>
      </w:r>
      <w:r>
        <w:rPr>
          <w:rFonts w:ascii="Cambria" w:hAnsi="Cambria"/>
          <w:sz w:val="18"/>
          <w:szCs w:val="18"/>
        </w:rPr>
        <w:t>, s</w:t>
      </w:r>
      <w:r w:rsidR="004F4BAE" w:rsidRPr="006567E5">
        <w:rPr>
          <w:rFonts w:ascii="Cambria" w:hAnsi="Cambria"/>
          <w:sz w:val="18"/>
          <w:szCs w:val="18"/>
        </w:rPr>
        <w:t xml:space="preserve">e dispuso que a partir de los reportes del año gravable 2025 se deberán tomar en cuenta el nuevo concepto </w:t>
      </w:r>
      <w:r w:rsidR="004F4BAE" w:rsidRPr="006567E5">
        <w:rPr>
          <w:rFonts w:ascii="Cambria" w:hAnsi="Cambria"/>
          <w:i/>
          <w:iCs/>
          <w:color w:val="0070C0"/>
          <w:sz w:val="18"/>
          <w:szCs w:val="18"/>
        </w:rPr>
        <w:t>“8340-Descuento tributario por donaciones efectuadas a bancos de alimentos y entidades sin ánimo de lucro pertenecientes al Régimen Tributario Especial.</w:t>
      </w:r>
      <w:r w:rsidR="004F4BAE">
        <w:rPr>
          <w:rFonts w:ascii="Cambria" w:hAnsi="Cambria"/>
          <w:i/>
          <w:iCs/>
          <w:color w:val="0070C0"/>
          <w:sz w:val="18"/>
          <w:szCs w:val="18"/>
        </w:rPr>
        <w:t xml:space="preserve"> </w:t>
      </w:r>
      <w:r w:rsidR="004F4BAE" w:rsidRPr="006567E5">
        <w:rPr>
          <w:rFonts w:ascii="Cambria" w:hAnsi="Cambria"/>
          <w:i/>
          <w:iCs/>
          <w:color w:val="0070C0"/>
          <w:sz w:val="18"/>
          <w:szCs w:val="18"/>
        </w:rPr>
        <w:t>Art. 257 par. 1 adicionado Ley 2380 de julio de 2024. No incluir esta información en el concepto 8318”</w:t>
      </w:r>
      <w:r w:rsidR="004F4BAE" w:rsidRPr="006567E5">
        <w:rPr>
          <w:rFonts w:ascii="Cambria" w:hAnsi="Cambria"/>
          <w:sz w:val="18"/>
          <w:szCs w:val="18"/>
        </w:rPr>
        <w:t xml:space="preserve"> (</w:t>
      </w:r>
      <w:r w:rsidR="004F4BAE" w:rsidRPr="006567E5">
        <w:rPr>
          <w:rFonts w:ascii="Cambria" w:hAnsi="Cambria"/>
          <w:color w:val="000000" w:themeColor="text1"/>
          <w:sz w:val="18"/>
          <w:szCs w:val="18"/>
        </w:rPr>
        <w:t xml:space="preserve">ver el ítem 25 de la tabla de conceptos del artículo </w:t>
      </w:r>
      <w:r>
        <w:rPr>
          <w:rFonts w:ascii="Cambria" w:hAnsi="Cambria"/>
          <w:color w:val="000000" w:themeColor="text1"/>
          <w:sz w:val="18"/>
          <w:szCs w:val="18"/>
        </w:rPr>
        <w:t>1.3.5.11.1</w:t>
      </w:r>
      <w:r w:rsidR="004F4BAE" w:rsidRPr="006567E5">
        <w:rPr>
          <w:rFonts w:ascii="Cambria" w:hAnsi="Cambria"/>
          <w:color w:val="000000" w:themeColor="text1"/>
          <w:sz w:val="18"/>
          <w:szCs w:val="18"/>
        </w:rPr>
        <w:t xml:space="preserve"> de la Resolución).</w:t>
      </w:r>
      <w:r>
        <w:rPr>
          <w:rFonts w:ascii="Cambria" w:hAnsi="Cambria"/>
          <w:color w:val="000000" w:themeColor="text1"/>
          <w:sz w:val="18"/>
          <w:szCs w:val="18"/>
        </w:rPr>
        <w:t xml:space="preserve"> Además, </w:t>
      </w:r>
      <w:r w:rsidR="006D4CC9">
        <w:rPr>
          <w:rFonts w:ascii="Cambria" w:hAnsi="Cambria"/>
          <w:color w:val="000000" w:themeColor="text1"/>
          <w:sz w:val="18"/>
          <w:szCs w:val="18"/>
        </w:rPr>
        <w:t>se modificó la descripción de los textos a que se hacen referencia los conceptos 8316, 8317, 8332, 8334,8336, 8337 y 8338 los cuales se utilizan dentro del mismo formato 1004 v.8</w:t>
      </w:r>
    </w:p>
    <w:p w:rsidR="004F4BAE" w:rsidRPr="00343767" w:rsidRDefault="004F4BAE" w:rsidP="004F4BAE">
      <w:pPr>
        <w:pStyle w:val="Prrafodelista"/>
        <w:jc w:val="both"/>
        <w:rPr>
          <w:rFonts w:ascii="Cambria" w:hAnsi="Cambria"/>
          <w:i/>
          <w:iCs/>
          <w:color w:val="0070C0"/>
          <w:sz w:val="18"/>
          <w:szCs w:val="18"/>
        </w:rPr>
      </w:pPr>
    </w:p>
    <w:p w:rsidR="004F4BAE" w:rsidRPr="00D31332" w:rsidRDefault="006D4CC9" w:rsidP="004F4BAE">
      <w:pPr>
        <w:pStyle w:val="Prrafodelista"/>
        <w:numPr>
          <w:ilvl w:val="0"/>
          <w:numId w:val="1"/>
        </w:numPr>
        <w:tabs>
          <w:tab w:val="left" w:pos="851"/>
        </w:tabs>
        <w:contextualSpacing/>
        <w:jc w:val="both"/>
        <w:rPr>
          <w:rFonts w:ascii="Cambria" w:hAnsi="Cambria"/>
          <w:sz w:val="18"/>
          <w:szCs w:val="18"/>
        </w:rPr>
      </w:pPr>
      <w:r>
        <w:rPr>
          <w:rFonts w:ascii="Cambria" w:hAnsi="Cambria"/>
          <w:sz w:val="18"/>
          <w:szCs w:val="18"/>
        </w:rPr>
        <w:t xml:space="preserve">De acuerdo con </w:t>
      </w:r>
      <w:r w:rsidR="004F4BAE" w:rsidRPr="00343767">
        <w:rPr>
          <w:rFonts w:ascii="Cambria" w:hAnsi="Cambria"/>
          <w:sz w:val="18"/>
          <w:szCs w:val="18"/>
        </w:rPr>
        <w:t>el</w:t>
      </w:r>
      <w:r>
        <w:rPr>
          <w:rFonts w:ascii="Cambria" w:hAnsi="Cambria"/>
          <w:sz w:val="18"/>
          <w:szCs w:val="18"/>
        </w:rPr>
        <w:t xml:space="preserve"> </w:t>
      </w:r>
      <w:r w:rsidR="004F4BAE" w:rsidRPr="00343767">
        <w:rPr>
          <w:rFonts w:ascii="Cambria" w:hAnsi="Cambria"/>
          <w:sz w:val="18"/>
          <w:szCs w:val="18"/>
        </w:rPr>
        <w:t xml:space="preserve">artículo </w:t>
      </w:r>
      <w:r>
        <w:rPr>
          <w:rFonts w:ascii="Cambria" w:hAnsi="Cambria"/>
          <w:sz w:val="18"/>
          <w:szCs w:val="18"/>
        </w:rPr>
        <w:t>1.3.7.1.1</w:t>
      </w:r>
      <w:r w:rsidR="004F4BAE" w:rsidRPr="00343767">
        <w:rPr>
          <w:rFonts w:ascii="Cambria" w:hAnsi="Cambria"/>
          <w:sz w:val="18"/>
          <w:szCs w:val="18"/>
        </w:rPr>
        <w:t xml:space="preserve"> de la Resolución </w:t>
      </w:r>
      <w:r>
        <w:rPr>
          <w:rFonts w:ascii="Cambria" w:hAnsi="Cambria"/>
          <w:sz w:val="18"/>
          <w:szCs w:val="18"/>
        </w:rPr>
        <w:t>227</w:t>
      </w:r>
      <w:r w:rsidR="004F4BAE" w:rsidRPr="00343767">
        <w:rPr>
          <w:rFonts w:ascii="Cambria" w:hAnsi="Cambria"/>
          <w:sz w:val="18"/>
          <w:szCs w:val="18"/>
        </w:rPr>
        <w:t xml:space="preserve"> de </w:t>
      </w:r>
      <w:r>
        <w:rPr>
          <w:rFonts w:ascii="Cambria" w:hAnsi="Cambria"/>
          <w:sz w:val="18"/>
          <w:szCs w:val="18"/>
        </w:rPr>
        <w:t>septiembre</w:t>
      </w:r>
      <w:r w:rsidR="004F4BAE" w:rsidRPr="00343767">
        <w:rPr>
          <w:rFonts w:ascii="Cambria" w:hAnsi="Cambria"/>
          <w:sz w:val="18"/>
          <w:szCs w:val="18"/>
        </w:rPr>
        <w:t xml:space="preserve"> de 202</w:t>
      </w:r>
      <w:r>
        <w:rPr>
          <w:rFonts w:ascii="Cambria" w:hAnsi="Cambria"/>
          <w:sz w:val="18"/>
          <w:szCs w:val="18"/>
        </w:rPr>
        <w:t>5 (</w:t>
      </w:r>
      <w:r w:rsidR="004F4BAE" w:rsidRPr="00343767">
        <w:rPr>
          <w:rFonts w:ascii="Cambria" w:hAnsi="Cambria"/>
          <w:sz w:val="18"/>
          <w:szCs w:val="18"/>
        </w:rPr>
        <w:t>el cual contiene las instrucciones para elaborar el formato 2276 v.4 con los datos de los pagos o abonos en cuenta por rentas de trabajo y de pensiones</w:t>
      </w:r>
      <w:r>
        <w:rPr>
          <w:rFonts w:ascii="Cambria" w:hAnsi="Cambria"/>
          <w:sz w:val="18"/>
          <w:szCs w:val="18"/>
        </w:rPr>
        <w:t xml:space="preserve">), </w:t>
      </w:r>
      <w:r w:rsidR="004F4BAE" w:rsidRPr="00343767">
        <w:rPr>
          <w:rFonts w:ascii="Cambria" w:hAnsi="Cambria"/>
          <w:sz w:val="18"/>
          <w:szCs w:val="18"/>
        </w:rPr>
        <w:t xml:space="preserve"> </w:t>
      </w:r>
      <w:r>
        <w:rPr>
          <w:rFonts w:ascii="Cambria" w:hAnsi="Cambria"/>
          <w:sz w:val="18"/>
          <w:szCs w:val="18"/>
        </w:rPr>
        <w:t>y el parágrafo 5 del artículo 1.3.9.1.3 de la misma Resolución 227 de septiembre de 2025</w:t>
      </w:r>
      <w:r>
        <w:rPr>
          <w:rFonts w:ascii="Cambria" w:hAnsi="Cambria"/>
          <w:sz w:val="18"/>
          <w:szCs w:val="18"/>
        </w:rPr>
        <w:t>, s</w:t>
      </w:r>
      <w:r w:rsidR="004F4BAE" w:rsidRPr="00343767">
        <w:rPr>
          <w:rFonts w:ascii="Cambria" w:hAnsi="Cambria"/>
          <w:sz w:val="18"/>
          <w:szCs w:val="18"/>
        </w:rPr>
        <w:t xml:space="preserve">e dispuso que a partir de los reportes del año gravable 2025 se deberán tomar en cuenta el nuevo parágrafo 7 </w:t>
      </w:r>
      <w:r>
        <w:rPr>
          <w:rFonts w:ascii="Cambria" w:hAnsi="Cambria"/>
          <w:sz w:val="18"/>
          <w:szCs w:val="18"/>
        </w:rPr>
        <w:t xml:space="preserve">del mencionado artículo 1.3.7.1.1 </w:t>
      </w:r>
      <w:r w:rsidR="004F4BAE" w:rsidRPr="00343767">
        <w:rPr>
          <w:rFonts w:ascii="Cambria" w:hAnsi="Cambria"/>
          <w:sz w:val="18"/>
          <w:szCs w:val="18"/>
        </w:rPr>
        <w:t xml:space="preserve">en el cual se indica que: </w:t>
      </w:r>
      <w:r w:rsidR="004F4BAE" w:rsidRPr="00343767">
        <w:rPr>
          <w:rFonts w:ascii="Cambria" w:hAnsi="Cambria"/>
          <w:i/>
          <w:iCs/>
          <w:color w:val="0070C0"/>
          <w:sz w:val="18"/>
          <w:szCs w:val="18"/>
        </w:rPr>
        <w:t>“los pagos por apoyos económicos no reembolsables o condonados para financiar educación con recursos públicos realizados directamente por el empleador serán reportados en el formato 2276. Los pagos por este concepto que sean administrados por terceros se informarán en el formato 5247 en el concepto 5102”</w:t>
      </w:r>
      <w:r w:rsidR="00D31332">
        <w:rPr>
          <w:rFonts w:ascii="Cambria" w:hAnsi="Cambria"/>
          <w:i/>
          <w:iCs/>
          <w:color w:val="0070C0"/>
          <w:sz w:val="18"/>
          <w:szCs w:val="18"/>
        </w:rPr>
        <w:t>.</w:t>
      </w:r>
    </w:p>
    <w:p w:rsidR="00D31332" w:rsidRPr="00D31332" w:rsidRDefault="00D31332" w:rsidP="00D31332">
      <w:pPr>
        <w:pStyle w:val="Prrafodelista"/>
        <w:rPr>
          <w:rFonts w:ascii="Cambria" w:hAnsi="Cambria"/>
          <w:sz w:val="18"/>
          <w:szCs w:val="18"/>
        </w:rPr>
      </w:pPr>
    </w:p>
    <w:p w:rsidR="00D31332" w:rsidRPr="00D31332" w:rsidRDefault="00D31332" w:rsidP="00D31332">
      <w:pPr>
        <w:pStyle w:val="Prrafodelista"/>
        <w:numPr>
          <w:ilvl w:val="0"/>
          <w:numId w:val="1"/>
        </w:numPr>
        <w:contextualSpacing/>
        <w:jc w:val="both"/>
        <w:rPr>
          <w:rFonts w:ascii="Cambria" w:hAnsi="Cambria"/>
          <w:sz w:val="18"/>
          <w:szCs w:val="18"/>
          <w:u w:val="single"/>
        </w:rPr>
      </w:pPr>
      <w:r w:rsidRPr="00D31332">
        <w:rPr>
          <w:rFonts w:ascii="Cambria" w:hAnsi="Cambria"/>
          <w:sz w:val="18"/>
          <w:szCs w:val="18"/>
        </w:rPr>
        <w:t>Se modificó el artículo 1.3.8.4.1 de la Resolución Unificada 227 de septiembre 23 de 2025 el cual regula el reporte a cargo de los responsables del Impuesto Nacional al Carbono a los cuales se les solicita información de las operaciones en las que no se causó dicho impuesto. La modificación consistió en indicar que el reporte ya no se hará en el formato 2574 versión 2 sino en el nuevo formato 2574 versión 3 el cual tendrá una nueva columna para reportar el “Tipo de combustible”</w:t>
      </w:r>
    </w:p>
    <w:p w:rsidR="00D31332" w:rsidRPr="00D31332" w:rsidRDefault="00D31332" w:rsidP="00D31332">
      <w:pPr>
        <w:pStyle w:val="Prrafodelista"/>
        <w:rPr>
          <w:rFonts w:ascii="Cambria" w:hAnsi="Cambria"/>
          <w:sz w:val="18"/>
          <w:szCs w:val="18"/>
          <w:u w:val="single"/>
        </w:rPr>
      </w:pPr>
    </w:p>
    <w:p w:rsidR="00D31332" w:rsidRPr="00D31332" w:rsidRDefault="00D31332" w:rsidP="00D31332">
      <w:pPr>
        <w:pStyle w:val="Prrafodelista"/>
        <w:numPr>
          <w:ilvl w:val="0"/>
          <w:numId w:val="1"/>
        </w:numPr>
        <w:contextualSpacing/>
        <w:jc w:val="both"/>
        <w:rPr>
          <w:rFonts w:ascii="Cambria" w:hAnsi="Cambria"/>
          <w:sz w:val="18"/>
          <w:szCs w:val="18"/>
        </w:rPr>
      </w:pPr>
      <w:r w:rsidRPr="00D31332">
        <w:rPr>
          <w:rFonts w:ascii="Cambria" w:hAnsi="Cambria"/>
          <w:sz w:val="18"/>
          <w:szCs w:val="18"/>
        </w:rPr>
        <w:t xml:space="preserve">El artículo </w:t>
      </w:r>
      <w:r w:rsidRPr="00D31332">
        <w:rPr>
          <w:rFonts w:ascii="Cambria" w:hAnsi="Cambria"/>
          <w:sz w:val="18"/>
          <w:szCs w:val="18"/>
        </w:rPr>
        <w:t>23</w:t>
      </w:r>
      <w:r w:rsidRPr="00D31332">
        <w:rPr>
          <w:rFonts w:ascii="Cambria" w:hAnsi="Cambria"/>
          <w:sz w:val="18"/>
          <w:szCs w:val="18"/>
        </w:rPr>
        <w:t xml:space="preserve"> de Resolución </w:t>
      </w:r>
      <w:r w:rsidRPr="00D31332">
        <w:rPr>
          <w:rFonts w:ascii="Cambria" w:hAnsi="Cambria"/>
          <w:sz w:val="18"/>
          <w:szCs w:val="18"/>
        </w:rPr>
        <w:t>233</w:t>
      </w:r>
      <w:r w:rsidRPr="00D31332">
        <w:rPr>
          <w:rFonts w:ascii="Cambria" w:hAnsi="Cambria"/>
          <w:sz w:val="18"/>
          <w:szCs w:val="18"/>
        </w:rPr>
        <w:t xml:space="preserve"> de octubre de 2025 modifica el artículo el 1.3.10.1 de la Resolución 227 de septiembre de 2025 (el cual contiene el listado total de los formatos que se usarán para hacer los reportes) indicando que los formatos 5247 a 5252, los cuales son utilizados por los administradores de los contratos de colaboración empresarial (ejemplo los mandatarios de los contratos de mandato, o los gestores de los contratos de cuentas en participación, etc.) cambian desde la versión 1 hasta la versión 2. Sin embargo, ninguno de los otros artículos de la misma Resolución </w:t>
      </w:r>
      <w:r>
        <w:rPr>
          <w:rFonts w:ascii="Cambria" w:hAnsi="Cambria"/>
          <w:sz w:val="18"/>
          <w:szCs w:val="18"/>
        </w:rPr>
        <w:t>233</w:t>
      </w:r>
      <w:r w:rsidRPr="00D31332">
        <w:rPr>
          <w:rFonts w:ascii="Cambria" w:hAnsi="Cambria"/>
          <w:sz w:val="18"/>
          <w:szCs w:val="18"/>
        </w:rPr>
        <w:t xml:space="preserve"> de octubre de 2025 introdujeron la actualización que se necesitaba hacer en ese caso al primer inciso del artículo 1.3.5.12.1 de la Resolución 227 de septiembre de 2025, el cual regula la forma de hacer dichos reportes, para indicar que los formatos a utilizar cambiarían desde la versión 1 a la versión 2. Además, cuando se miran los anexos de la Resolución </w:t>
      </w:r>
      <w:r>
        <w:rPr>
          <w:rFonts w:ascii="Cambria" w:hAnsi="Cambria"/>
          <w:sz w:val="18"/>
          <w:szCs w:val="18"/>
        </w:rPr>
        <w:t>233</w:t>
      </w:r>
      <w:r w:rsidRPr="00D31332">
        <w:rPr>
          <w:rFonts w:ascii="Cambria" w:hAnsi="Cambria"/>
          <w:sz w:val="18"/>
          <w:szCs w:val="18"/>
        </w:rPr>
        <w:t xml:space="preserve"> de octubre de 2025, y se mira la estructura de las nuevas versiones de los formatos 5247 a 5252, se observa que en todos ellos se agregan dos columnas finales para reportar el “número del contrato” y el “Número de Identificación de Entidades sin Personería Jurídica – NIESP” </w:t>
      </w:r>
    </w:p>
    <w:p w:rsidR="00D31332" w:rsidRPr="00343767" w:rsidRDefault="00D31332" w:rsidP="00D31332">
      <w:pPr>
        <w:pStyle w:val="Prrafodelista"/>
        <w:tabs>
          <w:tab w:val="left" w:pos="851"/>
        </w:tabs>
        <w:ind w:left="720"/>
        <w:contextualSpacing/>
        <w:jc w:val="both"/>
        <w:rPr>
          <w:rFonts w:ascii="Cambria" w:hAnsi="Cambria"/>
          <w:sz w:val="18"/>
          <w:szCs w:val="18"/>
        </w:rPr>
      </w:pPr>
    </w:p>
    <w:p w:rsidR="004F4BAE" w:rsidRPr="00343767" w:rsidRDefault="004F4BAE" w:rsidP="004F4BAE">
      <w:pPr>
        <w:pStyle w:val="Prrafodelista"/>
        <w:jc w:val="both"/>
        <w:rPr>
          <w:rFonts w:ascii="Cambria" w:hAnsi="Cambria"/>
          <w:sz w:val="18"/>
          <w:szCs w:val="18"/>
        </w:rPr>
      </w:pPr>
    </w:p>
    <w:p w:rsidR="004F4BAE" w:rsidRPr="00343767" w:rsidRDefault="006D4CC9" w:rsidP="004F4BAE">
      <w:pPr>
        <w:pStyle w:val="Prrafodelista"/>
        <w:numPr>
          <w:ilvl w:val="0"/>
          <w:numId w:val="1"/>
        </w:numPr>
        <w:contextualSpacing/>
        <w:jc w:val="both"/>
        <w:rPr>
          <w:rFonts w:ascii="Cambria" w:hAnsi="Cambria"/>
          <w:sz w:val="18"/>
          <w:szCs w:val="18"/>
        </w:rPr>
      </w:pPr>
      <w:r>
        <w:rPr>
          <w:rFonts w:ascii="Cambria" w:hAnsi="Cambria"/>
          <w:sz w:val="18"/>
          <w:szCs w:val="18"/>
        </w:rPr>
        <w:t xml:space="preserve">De acuerdo con </w:t>
      </w:r>
      <w:r w:rsidR="004F4BAE" w:rsidRPr="00343767">
        <w:rPr>
          <w:rFonts w:ascii="Cambria" w:hAnsi="Cambria"/>
          <w:sz w:val="18"/>
          <w:szCs w:val="18"/>
        </w:rPr>
        <w:t xml:space="preserve">el numeral 20 </w:t>
      </w:r>
      <w:r>
        <w:rPr>
          <w:rFonts w:ascii="Cambria" w:hAnsi="Cambria"/>
          <w:sz w:val="18"/>
          <w:szCs w:val="18"/>
        </w:rPr>
        <w:t>del artículo 1.3.1.1</w:t>
      </w:r>
      <w:r w:rsidR="004F4BAE" w:rsidRPr="00343767">
        <w:rPr>
          <w:rFonts w:ascii="Cambria" w:hAnsi="Cambria"/>
          <w:sz w:val="18"/>
          <w:szCs w:val="18"/>
        </w:rPr>
        <w:t xml:space="preserve">, </w:t>
      </w:r>
      <w:r>
        <w:rPr>
          <w:rFonts w:ascii="Cambria" w:hAnsi="Cambria"/>
          <w:sz w:val="18"/>
          <w:szCs w:val="18"/>
        </w:rPr>
        <w:t xml:space="preserve">el parágrafo </w:t>
      </w:r>
      <w:r w:rsidR="00043511">
        <w:rPr>
          <w:rFonts w:ascii="Cambria" w:hAnsi="Cambria"/>
          <w:sz w:val="18"/>
          <w:szCs w:val="18"/>
        </w:rPr>
        <w:t>6</w:t>
      </w:r>
      <w:r>
        <w:rPr>
          <w:rFonts w:ascii="Cambria" w:hAnsi="Cambria"/>
          <w:sz w:val="18"/>
          <w:szCs w:val="18"/>
        </w:rPr>
        <w:t xml:space="preserve"> del artículo 1.3.9.1.3, y los artículos 1.3.12.9 hasta 1.3.12.16</w:t>
      </w:r>
      <w:r w:rsidR="00043511">
        <w:rPr>
          <w:rFonts w:ascii="Cambria" w:hAnsi="Cambria"/>
          <w:sz w:val="18"/>
          <w:szCs w:val="18"/>
        </w:rPr>
        <w:t xml:space="preserve">, se </w:t>
      </w:r>
      <w:r w:rsidR="004F4BAE" w:rsidRPr="00343767">
        <w:rPr>
          <w:rFonts w:ascii="Cambria" w:hAnsi="Cambria"/>
          <w:sz w:val="18"/>
          <w:szCs w:val="18"/>
        </w:rPr>
        <w:t>establec</w:t>
      </w:r>
      <w:r w:rsidR="00043511">
        <w:rPr>
          <w:rFonts w:ascii="Cambria" w:hAnsi="Cambria"/>
          <w:sz w:val="18"/>
          <w:szCs w:val="18"/>
        </w:rPr>
        <w:t>ió</w:t>
      </w:r>
      <w:r w:rsidR="004F4BAE" w:rsidRPr="00343767">
        <w:rPr>
          <w:rFonts w:ascii="Cambria" w:hAnsi="Cambria"/>
          <w:sz w:val="18"/>
          <w:szCs w:val="18"/>
        </w:rPr>
        <w:t xml:space="preserve"> que a partir de los reportes del año gravable 2025 se exigirán 8 reportes nuevos en los formatos 2823, 2824, 2825, 2826 v.1, 2827 v.1, 2828 v.1, 2829 v.1 y 2840 v.1 los cuales estarán a cargo de los siguientes </w:t>
      </w:r>
      <w:proofErr w:type="spellStart"/>
      <w:r w:rsidR="004F4BAE" w:rsidRPr="00343767">
        <w:rPr>
          <w:rFonts w:ascii="Cambria" w:hAnsi="Cambria"/>
          <w:sz w:val="18"/>
          <w:szCs w:val="18"/>
        </w:rPr>
        <w:t>reportantes</w:t>
      </w:r>
      <w:proofErr w:type="spellEnd"/>
      <w:r w:rsidR="004F4BAE" w:rsidRPr="00343767">
        <w:rPr>
          <w:rFonts w:ascii="Cambria" w:hAnsi="Cambria"/>
          <w:sz w:val="18"/>
          <w:szCs w:val="18"/>
        </w:rPr>
        <w:t xml:space="preserve"> (nota: el parágrafo 6 </w:t>
      </w:r>
      <w:r w:rsidR="00043511">
        <w:rPr>
          <w:rFonts w:ascii="Cambria" w:hAnsi="Cambria"/>
          <w:sz w:val="18"/>
          <w:szCs w:val="18"/>
        </w:rPr>
        <w:t xml:space="preserve">del artículo 1.2.9.1.3 </w:t>
      </w:r>
      <w:r w:rsidR="004F4BAE" w:rsidRPr="00343767">
        <w:rPr>
          <w:rFonts w:ascii="Cambria" w:hAnsi="Cambria"/>
          <w:sz w:val="18"/>
          <w:szCs w:val="18"/>
        </w:rPr>
        <w:t>indica que estos mismos formatos se podrán presentar voluntariamente por los años gravables 2021 a 2024 y se vencerían en el mismo momento en que se venzan los reportes del año gravable 2025):</w:t>
      </w:r>
    </w:p>
    <w:p w:rsidR="004F4BAE" w:rsidRPr="00343767" w:rsidRDefault="004F4BAE" w:rsidP="004F4BAE">
      <w:pPr>
        <w:pStyle w:val="Prrafodelista"/>
        <w:jc w:val="both"/>
        <w:rPr>
          <w:rFonts w:ascii="Cambria" w:hAnsi="Cambria"/>
          <w:sz w:val="18"/>
          <w:szCs w:val="18"/>
        </w:rPr>
      </w:pPr>
    </w:p>
    <w:p w:rsidR="004F4BAE" w:rsidRPr="00343767" w:rsidRDefault="004F4BAE" w:rsidP="004F4BAE">
      <w:pPr>
        <w:pStyle w:val="Prrafodelista"/>
        <w:numPr>
          <w:ilvl w:val="0"/>
          <w:numId w:val="2"/>
        </w:numPr>
        <w:contextualSpacing/>
        <w:jc w:val="both"/>
        <w:rPr>
          <w:rFonts w:ascii="Cambria" w:hAnsi="Cambria"/>
          <w:sz w:val="18"/>
          <w:szCs w:val="18"/>
        </w:rPr>
      </w:pPr>
      <w:r w:rsidRPr="00343767">
        <w:rPr>
          <w:rFonts w:ascii="Cambria" w:hAnsi="Cambria"/>
          <w:sz w:val="18"/>
          <w:szCs w:val="18"/>
        </w:rPr>
        <w:t xml:space="preserve">La ANLA (Autoridad Nacional de Licencias Ambientales) deberá elaborar el formato 2826 v.1 con el detalle de las certificaciones ambientales expedidas a favor de los contribuyentes del impuesto de renta que utilicen el descuento tributario del </w:t>
      </w:r>
      <w:hyperlink r:id="rId6" w:anchor="255" w:history="1">
        <w:r w:rsidRPr="00343767">
          <w:rPr>
            <w:rStyle w:val="Hipervnculo"/>
            <w:rFonts w:ascii="Cambria" w:hAnsi="Cambria"/>
            <w:sz w:val="18"/>
            <w:szCs w:val="18"/>
          </w:rPr>
          <w:t>inciso 1 del artículo 255 del ET</w:t>
        </w:r>
      </w:hyperlink>
      <w:r w:rsidRPr="00343767">
        <w:rPr>
          <w:rFonts w:ascii="Cambria" w:hAnsi="Cambria"/>
          <w:sz w:val="18"/>
          <w:szCs w:val="18"/>
        </w:rPr>
        <w:t xml:space="preserve"> por efectuar inversiones en control, conservación y mejoramiento del medio ambiente.</w:t>
      </w:r>
    </w:p>
    <w:p w:rsidR="004F4BAE" w:rsidRPr="00343767" w:rsidRDefault="004F4BAE" w:rsidP="004F4BAE">
      <w:pPr>
        <w:pStyle w:val="Prrafodelista"/>
        <w:ind w:left="1080"/>
        <w:jc w:val="both"/>
        <w:rPr>
          <w:rFonts w:ascii="Cambria" w:hAnsi="Cambria"/>
          <w:sz w:val="18"/>
          <w:szCs w:val="18"/>
        </w:rPr>
      </w:pPr>
    </w:p>
    <w:p w:rsidR="004F4BAE" w:rsidRPr="00343767" w:rsidRDefault="004F4BAE" w:rsidP="004F4BAE">
      <w:pPr>
        <w:pStyle w:val="Prrafodelista"/>
        <w:numPr>
          <w:ilvl w:val="0"/>
          <w:numId w:val="2"/>
        </w:numPr>
        <w:contextualSpacing/>
        <w:jc w:val="both"/>
        <w:rPr>
          <w:rFonts w:ascii="Cambria" w:hAnsi="Cambria"/>
          <w:sz w:val="18"/>
          <w:szCs w:val="18"/>
        </w:rPr>
      </w:pPr>
      <w:r w:rsidRPr="00343767">
        <w:rPr>
          <w:rFonts w:ascii="Cambria" w:hAnsi="Cambria"/>
          <w:sz w:val="18"/>
          <w:szCs w:val="18"/>
        </w:rPr>
        <w:t xml:space="preserve">El Ministerio de Ciencia y Tecnología deberá elaborar el formato 2823 v.1 para informar los datos de los contribuyentes que hayan recibido los ingresos a que se refiere el inciso primero del </w:t>
      </w:r>
      <w:hyperlink r:id="rId7" w:anchor="57-2" w:history="1">
        <w:r w:rsidRPr="00343767">
          <w:rPr>
            <w:rStyle w:val="Hipervnculo"/>
            <w:rFonts w:ascii="Cambria" w:hAnsi="Cambria"/>
            <w:sz w:val="18"/>
            <w:szCs w:val="18"/>
          </w:rPr>
          <w:t>artículo 57-2 del ET</w:t>
        </w:r>
      </w:hyperlink>
      <w:r w:rsidRPr="00343767">
        <w:rPr>
          <w:rFonts w:ascii="Cambria" w:hAnsi="Cambria"/>
          <w:sz w:val="18"/>
          <w:szCs w:val="18"/>
        </w:rPr>
        <w:t xml:space="preserve"> (destinados al desarrollo de proyectos calificados como de carácter científico, tecnológico o de innovación, según los criterios y las condiciones definidas por el Consejo Nacional de Beneficios Tributarios en Ciencia, Tecnología e Innovación), los cuales se pueden restar como ingreso no gravado</w:t>
      </w:r>
    </w:p>
    <w:p w:rsidR="004F4BAE" w:rsidRPr="00343767" w:rsidRDefault="004F4BAE" w:rsidP="004F4BAE">
      <w:pPr>
        <w:pStyle w:val="Prrafodelista"/>
        <w:jc w:val="both"/>
        <w:rPr>
          <w:rFonts w:ascii="Cambria" w:hAnsi="Cambria"/>
          <w:sz w:val="18"/>
          <w:szCs w:val="18"/>
        </w:rPr>
      </w:pPr>
    </w:p>
    <w:p w:rsidR="004F4BAE" w:rsidRPr="00343767" w:rsidRDefault="004F4BAE" w:rsidP="004F4BAE">
      <w:pPr>
        <w:pStyle w:val="Prrafodelista"/>
        <w:numPr>
          <w:ilvl w:val="0"/>
          <w:numId w:val="2"/>
        </w:numPr>
        <w:contextualSpacing/>
        <w:jc w:val="both"/>
        <w:rPr>
          <w:rFonts w:ascii="Cambria" w:hAnsi="Cambria"/>
          <w:sz w:val="18"/>
          <w:szCs w:val="18"/>
        </w:rPr>
      </w:pPr>
      <w:r w:rsidRPr="00343767">
        <w:rPr>
          <w:rFonts w:ascii="Cambria" w:hAnsi="Cambria"/>
          <w:sz w:val="18"/>
          <w:szCs w:val="18"/>
        </w:rPr>
        <w:t xml:space="preserve">El Ministerio de Ciencia y Tecnología deberá elaborar el formato 2824 v.1 para informar los datos de los contribuyentes personas naturales que hayan recibido los ingresos a que se refiere el inciso segundo del </w:t>
      </w:r>
      <w:hyperlink r:id="rId8" w:anchor="57-2" w:history="1">
        <w:r w:rsidRPr="00343767">
          <w:rPr>
            <w:rStyle w:val="Hipervnculo"/>
            <w:rFonts w:ascii="Cambria" w:hAnsi="Cambria"/>
            <w:sz w:val="18"/>
            <w:szCs w:val="18"/>
          </w:rPr>
          <w:t>artículo 57-2 del ET</w:t>
        </w:r>
      </w:hyperlink>
      <w:r w:rsidRPr="00343767">
        <w:rPr>
          <w:rFonts w:ascii="Cambria" w:hAnsi="Cambria"/>
          <w:sz w:val="18"/>
          <w:szCs w:val="18"/>
        </w:rPr>
        <w:t xml:space="preserve"> (por la ejecución directa de labores de carácter científico, tecnológico </w:t>
      </w:r>
      <w:r w:rsidRPr="00343767">
        <w:rPr>
          <w:rFonts w:ascii="Cambria" w:hAnsi="Cambria"/>
          <w:sz w:val="18"/>
          <w:szCs w:val="18"/>
        </w:rPr>
        <w:lastRenderedPageBreak/>
        <w:t>o de innovación, siempre que dicha remuneración provenga de los recursos destinados al respectivo proyecto, según los criterios y las condiciones definidas por el Consejo Nacional de Beneficios Tributarios en Ciencia, Tecnología e Innovación), los cuales se pueden restar como ingreso no gravado.</w:t>
      </w:r>
    </w:p>
    <w:p w:rsidR="004F4BAE" w:rsidRPr="00343767" w:rsidRDefault="004F4BAE" w:rsidP="004F4BAE">
      <w:pPr>
        <w:pStyle w:val="Prrafodelista"/>
        <w:jc w:val="both"/>
        <w:rPr>
          <w:rFonts w:ascii="Cambria" w:hAnsi="Cambria"/>
          <w:sz w:val="18"/>
          <w:szCs w:val="18"/>
        </w:rPr>
      </w:pPr>
    </w:p>
    <w:p w:rsidR="004F4BAE" w:rsidRPr="00343767" w:rsidRDefault="004F4BAE" w:rsidP="004F4BAE">
      <w:pPr>
        <w:pStyle w:val="Prrafodelista"/>
        <w:numPr>
          <w:ilvl w:val="0"/>
          <w:numId w:val="2"/>
        </w:numPr>
        <w:contextualSpacing/>
        <w:jc w:val="both"/>
        <w:rPr>
          <w:rFonts w:ascii="Cambria" w:hAnsi="Cambria"/>
          <w:sz w:val="18"/>
          <w:szCs w:val="18"/>
        </w:rPr>
      </w:pPr>
      <w:r w:rsidRPr="00343767">
        <w:rPr>
          <w:rFonts w:ascii="Cambria" w:hAnsi="Cambria"/>
          <w:sz w:val="18"/>
          <w:szCs w:val="18"/>
        </w:rPr>
        <w:t xml:space="preserve">El Ministerio de Ciencia y Tecnología deberá elaborar el formato 2827 v.1 para informar los datos de los contribuyentes del impuesto de renta que utilicen el descuento tributario del </w:t>
      </w:r>
      <w:hyperlink r:id="rId9" w:anchor="256" w:history="1">
        <w:r w:rsidRPr="00343767">
          <w:rPr>
            <w:rStyle w:val="Hipervnculo"/>
            <w:rFonts w:ascii="Cambria" w:hAnsi="Cambria"/>
            <w:sz w:val="18"/>
            <w:szCs w:val="18"/>
          </w:rPr>
          <w:t>inciso 1 del artículo 256 del ET</w:t>
        </w:r>
      </w:hyperlink>
      <w:r w:rsidRPr="00343767">
        <w:rPr>
          <w:rFonts w:ascii="Cambria" w:hAnsi="Cambria"/>
          <w:sz w:val="18"/>
          <w:szCs w:val="18"/>
        </w:rPr>
        <w:t xml:space="preserve"> por efectuar inversiones en proyectos calificados por el Consejo Nacional de Beneficios Tributarios en Ciencia y Tecnología en Innovación como de investigación, desarrollo tecnológico o innovación.</w:t>
      </w:r>
    </w:p>
    <w:p w:rsidR="004F4BAE" w:rsidRPr="00343767" w:rsidRDefault="004F4BAE" w:rsidP="004F4BAE">
      <w:pPr>
        <w:pStyle w:val="Prrafodelista"/>
        <w:jc w:val="both"/>
        <w:rPr>
          <w:rFonts w:ascii="Cambria" w:hAnsi="Cambria"/>
          <w:sz w:val="18"/>
          <w:szCs w:val="18"/>
        </w:rPr>
      </w:pPr>
    </w:p>
    <w:p w:rsidR="004F4BAE" w:rsidRPr="00343767" w:rsidRDefault="004F4BAE" w:rsidP="004F4BAE">
      <w:pPr>
        <w:pStyle w:val="Prrafodelista"/>
        <w:numPr>
          <w:ilvl w:val="0"/>
          <w:numId w:val="2"/>
        </w:numPr>
        <w:contextualSpacing/>
        <w:jc w:val="both"/>
        <w:rPr>
          <w:rFonts w:ascii="Cambria" w:hAnsi="Cambria"/>
          <w:sz w:val="18"/>
          <w:szCs w:val="18"/>
        </w:rPr>
      </w:pPr>
      <w:r w:rsidRPr="00343767">
        <w:rPr>
          <w:rFonts w:ascii="Cambria" w:hAnsi="Cambria"/>
          <w:sz w:val="18"/>
          <w:szCs w:val="18"/>
        </w:rPr>
        <w:t xml:space="preserve">El Ministerio de Ciencia y Tecnología deberá elaborar el formato 2828 v.1 para informar los datos de los contribuyentes del impuesto de renta que utilicen el descuento tributario del </w:t>
      </w:r>
      <w:hyperlink r:id="rId10" w:anchor="256-1" w:history="1">
        <w:r w:rsidRPr="00343767">
          <w:rPr>
            <w:rStyle w:val="Hipervnculo"/>
            <w:rFonts w:ascii="Cambria" w:hAnsi="Cambria"/>
            <w:sz w:val="18"/>
            <w:szCs w:val="18"/>
          </w:rPr>
          <w:t>inciso 1 del artículo 256-1 del ET</w:t>
        </w:r>
      </w:hyperlink>
      <w:r w:rsidRPr="00343767">
        <w:rPr>
          <w:rFonts w:ascii="Cambria" w:hAnsi="Cambria"/>
          <w:sz w:val="18"/>
          <w:szCs w:val="18"/>
        </w:rPr>
        <w:t xml:space="preserve"> por tratarse de </w:t>
      </w:r>
      <w:proofErr w:type="spellStart"/>
      <w:r w:rsidRPr="00343767">
        <w:rPr>
          <w:rFonts w:ascii="Cambria" w:hAnsi="Cambria"/>
          <w:sz w:val="18"/>
          <w:szCs w:val="18"/>
        </w:rPr>
        <w:t>lMicro</w:t>
      </w:r>
      <w:proofErr w:type="spellEnd"/>
      <w:r w:rsidRPr="00343767">
        <w:rPr>
          <w:rFonts w:ascii="Cambria" w:hAnsi="Cambria"/>
          <w:sz w:val="18"/>
          <w:szCs w:val="18"/>
        </w:rPr>
        <w:t>, Pequeñas y Medianas empresas que realizan inversiones en proyectos calificados como de Investigación, Desarrollo Tecnológico e Innovación, de acuerdo con los criterios y condiciones definidas por el Consejo Nacional de Beneficios Tributarios en Ciencia, Tecnología e Innovación (CNBT).</w:t>
      </w:r>
    </w:p>
    <w:p w:rsidR="004F4BAE" w:rsidRPr="00343767" w:rsidRDefault="004F4BAE" w:rsidP="004F4BAE">
      <w:pPr>
        <w:pStyle w:val="Prrafodelista"/>
        <w:jc w:val="both"/>
        <w:rPr>
          <w:rFonts w:ascii="Cambria" w:hAnsi="Cambria"/>
          <w:sz w:val="18"/>
          <w:szCs w:val="18"/>
        </w:rPr>
      </w:pPr>
    </w:p>
    <w:p w:rsidR="004F4BAE" w:rsidRPr="00343767" w:rsidRDefault="004F4BAE" w:rsidP="004F4BAE">
      <w:pPr>
        <w:pStyle w:val="Prrafodelista"/>
        <w:numPr>
          <w:ilvl w:val="0"/>
          <w:numId w:val="2"/>
        </w:numPr>
        <w:contextualSpacing/>
        <w:jc w:val="both"/>
        <w:rPr>
          <w:rFonts w:ascii="Cambria" w:hAnsi="Cambria"/>
          <w:sz w:val="18"/>
          <w:szCs w:val="18"/>
        </w:rPr>
      </w:pPr>
      <w:r w:rsidRPr="00343767">
        <w:rPr>
          <w:rFonts w:ascii="Cambria" w:hAnsi="Cambria"/>
          <w:sz w:val="18"/>
          <w:szCs w:val="18"/>
        </w:rPr>
        <w:t xml:space="preserve">El Ministerio de Ciencia y Tecnología deberá elaborar el formato 2829 v.1 para informar los datos de los contribuyentes del impuesto de renta que utilicen el descuento tributario del </w:t>
      </w:r>
      <w:hyperlink r:id="rId11" w:anchor="256-1" w:history="1">
        <w:r w:rsidRPr="00343767">
          <w:rPr>
            <w:rStyle w:val="Hipervnculo"/>
            <w:rFonts w:ascii="Cambria" w:hAnsi="Cambria"/>
            <w:sz w:val="18"/>
            <w:szCs w:val="18"/>
          </w:rPr>
          <w:t>inciso 2 del artículo 256-1 del ET</w:t>
        </w:r>
      </w:hyperlink>
      <w:r w:rsidRPr="00343767">
        <w:rPr>
          <w:rFonts w:ascii="Cambria" w:hAnsi="Cambria"/>
          <w:sz w:val="18"/>
          <w:szCs w:val="18"/>
        </w:rPr>
        <w:t xml:space="preserve"> por tratarse de Micro, Pequeñas y Medianas empresas que contratan personal con título de doctorado para el desarrollo de proyectos calificados como de Investigación, Desarrollo Tecnológico e Innovación, de acuerdo con los criterios y condiciones definidas por el Consejo Nacional de Beneficios Tributarios en Ciencia, Tecnología e Innovación (CNBT).</w:t>
      </w:r>
    </w:p>
    <w:p w:rsidR="004F4BAE" w:rsidRPr="00343767" w:rsidRDefault="004F4BAE" w:rsidP="004F4BAE">
      <w:pPr>
        <w:pStyle w:val="Prrafodelista"/>
        <w:jc w:val="both"/>
        <w:rPr>
          <w:rFonts w:ascii="Cambria" w:hAnsi="Cambria"/>
          <w:sz w:val="18"/>
          <w:szCs w:val="18"/>
        </w:rPr>
      </w:pPr>
    </w:p>
    <w:p w:rsidR="004F4BAE" w:rsidRPr="00343767" w:rsidRDefault="004F4BAE" w:rsidP="004F4BAE">
      <w:pPr>
        <w:pStyle w:val="Prrafodelista"/>
        <w:numPr>
          <w:ilvl w:val="0"/>
          <w:numId w:val="2"/>
        </w:numPr>
        <w:contextualSpacing/>
        <w:jc w:val="both"/>
        <w:rPr>
          <w:rFonts w:ascii="Cambria" w:hAnsi="Cambria"/>
          <w:sz w:val="18"/>
          <w:szCs w:val="18"/>
        </w:rPr>
      </w:pPr>
      <w:r w:rsidRPr="00343767">
        <w:rPr>
          <w:rFonts w:ascii="Cambria" w:hAnsi="Cambria"/>
          <w:sz w:val="18"/>
          <w:szCs w:val="18"/>
        </w:rPr>
        <w:t xml:space="preserve">El Ministerio de la Cultura deberá elaborar el formato 2825 v.1 para informar los datos de los contribuyentes del impuesto de renta que utilicen la deducción especial fiscal del </w:t>
      </w:r>
      <w:hyperlink r:id="rId12" w:anchor="195" w:history="1">
        <w:r w:rsidRPr="00343767">
          <w:rPr>
            <w:rStyle w:val="Hipervnculo"/>
            <w:rFonts w:ascii="Cambria" w:hAnsi="Cambria"/>
            <w:sz w:val="18"/>
            <w:szCs w:val="18"/>
          </w:rPr>
          <w:t>artículo 16 de la Ley 814 de 2003 (modificado con el artículo 195 de la Ley 1607 de 2012</w:t>
        </w:r>
      </w:hyperlink>
      <w:r w:rsidRPr="00343767">
        <w:rPr>
          <w:rFonts w:ascii="Cambria" w:hAnsi="Cambria"/>
          <w:sz w:val="18"/>
          <w:szCs w:val="18"/>
        </w:rPr>
        <w:t>; ver también el artículo 2.10.2.6.3 del DUR 1080 de mayo de 2015), por efectuar inversiones en, o hacer donaciones a, los proyectos cinematográficos de producción o coproducción colombianas de largometraje o cortometraje.</w:t>
      </w:r>
    </w:p>
    <w:p w:rsidR="004F4BAE" w:rsidRPr="00343767" w:rsidRDefault="004F4BAE" w:rsidP="004F4BAE">
      <w:pPr>
        <w:pStyle w:val="Prrafodelista"/>
        <w:jc w:val="both"/>
        <w:rPr>
          <w:rFonts w:ascii="Cambria" w:hAnsi="Cambria"/>
          <w:sz w:val="18"/>
          <w:szCs w:val="18"/>
        </w:rPr>
      </w:pPr>
    </w:p>
    <w:p w:rsidR="004F4BAE" w:rsidRPr="00343767" w:rsidRDefault="004F4BAE" w:rsidP="004F4BAE">
      <w:pPr>
        <w:pStyle w:val="Prrafodelista"/>
        <w:numPr>
          <w:ilvl w:val="0"/>
          <w:numId w:val="2"/>
        </w:numPr>
        <w:contextualSpacing/>
        <w:jc w:val="both"/>
        <w:rPr>
          <w:rFonts w:ascii="Cambria" w:hAnsi="Cambria"/>
          <w:sz w:val="18"/>
          <w:szCs w:val="18"/>
        </w:rPr>
      </w:pPr>
      <w:r w:rsidRPr="00343767">
        <w:rPr>
          <w:rFonts w:ascii="Cambria" w:hAnsi="Cambria"/>
          <w:sz w:val="18"/>
          <w:szCs w:val="18"/>
        </w:rPr>
        <w:t>El Ministerio del Trabajo, de conformidad con lo establecido en el art</w:t>
      </w:r>
      <w:proofErr w:type="spellStart"/>
      <w:r w:rsidRPr="00343767">
        <w:rPr>
          <w:rFonts w:ascii="Cambria" w:hAnsi="Cambria"/>
          <w:sz w:val="18"/>
          <w:szCs w:val="18"/>
          <w:lang w:val="es-ES"/>
        </w:rPr>
        <w:t>ículo</w:t>
      </w:r>
      <w:proofErr w:type="spellEnd"/>
      <w:r w:rsidRPr="00343767">
        <w:rPr>
          <w:rFonts w:ascii="Cambria" w:hAnsi="Cambria"/>
          <w:sz w:val="18"/>
          <w:szCs w:val="18"/>
          <w:lang w:val="es-ES"/>
        </w:rPr>
        <w:t xml:space="preserve"> </w:t>
      </w:r>
      <w:hyperlink r:id="rId13" w:anchor="1.2.1.18.89" w:history="1">
        <w:r w:rsidRPr="00343767">
          <w:rPr>
            <w:rStyle w:val="Hipervnculo"/>
            <w:rFonts w:ascii="Cambria" w:hAnsi="Cambria"/>
            <w:sz w:val="18"/>
            <w:szCs w:val="18"/>
            <w:lang w:val="es-ES"/>
          </w:rPr>
          <w:t>1.2.1.18.89 del DUT 1625 de 2016</w:t>
        </w:r>
      </w:hyperlink>
      <w:r w:rsidRPr="00343767">
        <w:rPr>
          <w:rFonts w:ascii="Cambria" w:hAnsi="Cambria"/>
          <w:sz w:val="18"/>
          <w:szCs w:val="18"/>
          <w:lang w:val="es-ES"/>
        </w:rPr>
        <w:t xml:space="preserve">, </w:t>
      </w:r>
      <w:r w:rsidRPr="00343767">
        <w:rPr>
          <w:rFonts w:ascii="Cambria" w:hAnsi="Cambria"/>
          <w:sz w:val="18"/>
          <w:szCs w:val="18"/>
        </w:rPr>
        <w:t xml:space="preserve"> deberá elaborar el formato 2840 v.1 para informar los datos de los contribuyentes del impuesto de renta que utilicen la deducción especial fiscal del </w:t>
      </w:r>
      <w:hyperlink r:id="rId14" w:anchor="108-5" w:history="1">
        <w:r w:rsidRPr="00343767">
          <w:rPr>
            <w:rStyle w:val="Hipervnculo"/>
            <w:rFonts w:ascii="Cambria" w:hAnsi="Cambria"/>
            <w:sz w:val="18"/>
            <w:szCs w:val="18"/>
          </w:rPr>
          <w:t>artículo 108-5 del ET</w:t>
        </w:r>
      </w:hyperlink>
      <w:r w:rsidRPr="00343767">
        <w:rPr>
          <w:rFonts w:ascii="Cambria" w:hAnsi="Cambria"/>
          <w:sz w:val="18"/>
          <w:szCs w:val="18"/>
        </w:rPr>
        <w:t xml:space="preserve"> por otorgar el primer empleo a personas me</w:t>
      </w:r>
      <w:r>
        <w:rPr>
          <w:rFonts w:ascii="Cambria" w:hAnsi="Cambria"/>
          <w:sz w:val="18"/>
          <w:szCs w:val="18"/>
        </w:rPr>
        <w:t>n</w:t>
      </w:r>
      <w:r w:rsidRPr="00343767">
        <w:rPr>
          <w:rFonts w:ascii="Cambria" w:hAnsi="Cambria"/>
          <w:sz w:val="18"/>
          <w:szCs w:val="18"/>
        </w:rPr>
        <w:t>ores de 28 años</w:t>
      </w:r>
      <w:r>
        <w:rPr>
          <w:rFonts w:ascii="Cambria" w:hAnsi="Cambria"/>
          <w:sz w:val="18"/>
          <w:szCs w:val="18"/>
        </w:rPr>
        <w:t>.</w:t>
      </w:r>
    </w:p>
    <w:p w:rsidR="004F4BAE" w:rsidRPr="00343767" w:rsidRDefault="004F4BAE" w:rsidP="004F4BAE">
      <w:pPr>
        <w:pStyle w:val="Prrafodelista"/>
        <w:jc w:val="both"/>
        <w:rPr>
          <w:rFonts w:ascii="Cambria" w:hAnsi="Cambria"/>
          <w:sz w:val="18"/>
          <w:szCs w:val="18"/>
        </w:rPr>
      </w:pPr>
    </w:p>
    <w:p w:rsidR="004F4BAE" w:rsidRPr="00343767" w:rsidRDefault="00043511" w:rsidP="004F4BAE">
      <w:pPr>
        <w:pStyle w:val="Prrafodelista"/>
        <w:numPr>
          <w:ilvl w:val="0"/>
          <w:numId w:val="1"/>
        </w:numPr>
        <w:contextualSpacing/>
        <w:jc w:val="both"/>
        <w:rPr>
          <w:rFonts w:ascii="Cambria" w:hAnsi="Cambria"/>
          <w:sz w:val="18"/>
          <w:szCs w:val="18"/>
        </w:rPr>
      </w:pPr>
      <w:r>
        <w:rPr>
          <w:rFonts w:ascii="Cambria" w:hAnsi="Cambria"/>
          <w:sz w:val="18"/>
          <w:szCs w:val="18"/>
        </w:rPr>
        <w:t xml:space="preserve">De acuerdo con los artículos 1.3.12.7 y 1.3.12.8, y el parágrafo 5 del artículo 1.3.9.1.3 de la Resolución 227 de septiembre de 2025, se dispuso </w:t>
      </w:r>
      <w:r w:rsidR="004F4BAE" w:rsidRPr="00343767">
        <w:rPr>
          <w:rFonts w:ascii="Cambria" w:hAnsi="Cambria"/>
          <w:sz w:val="18"/>
          <w:szCs w:val="18"/>
        </w:rPr>
        <w:t xml:space="preserve">que a partir del año gravable 2025  los sindicatos, asociaciones gremiales, fondos de empleados, fondos mutuos de inversión, las iglesias y confesiones religiosas reconocidas por el Ministerio del Interior, las sociedades de alcohólicos anónimos, cuando en el año gravable a reportar o en el año gravable anterior hayan obtenido ingresos brutos superiores a 20.000 UVT (lo que sería por ejemplo unos $941.300.000 en el 2024, o unos 996.000.000 durante el 2025), deberán utilizar los nuevos formato 2834 v.1 </w:t>
      </w:r>
      <w:r w:rsidR="004F4BAE">
        <w:rPr>
          <w:rFonts w:ascii="Cambria" w:hAnsi="Cambria"/>
          <w:sz w:val="18"/>
          <w:szCs w:val="18"/>
        </w:rPr>
        <w:t xml:space="preserve">y </w:t>
      </w:r>
      <w:r w:rsidR="004F4BAE" w:rsidRPr="00343767">
        <w:rPr>
          <w:rFonts w:ascii="Cambria" w:hAnsi="Cambria"/>
          <w:sz w:val="18"/>
          <w:szCs w:val="18"/>
        </w:rPr>
        <w:t>2835 v.1 para suministrar la siguiente información:</w:t>
      </w:r>
    </w:p>
    <w:p w:rsidR="004F4BAE" w:rsidRPr="00343767" w:rsidRDefault="004F4BAE" w:rsidP="004F4BAE">
      <w:pPr>
        <w:pStyle w:val="Prrafodelista"/>
        <w:numPr>
          <w:ilvl w:val="0"/>
          <w:numId w:val="3"/>
        </w:numPr>
        <w:contextualSpacing/>
        <w:jc w:val="both"/>
        <w:rPr>
          <w:rFonts w:ascii="Cambria" w:hAnsi="Cambria"/>
          <w:sz w:val="18"/>
          <w:szCs w:val="18"/>
        </w:rPr>
      </w:pPr>
      <w:r w:rsidRPr="00343767">
        <w:rPr>
          <w:rFonts w:ascii="Cambria" w:hAnsi="Cambria"/>
          <w:sz w:val="18"/>
          <w:szCs w:val="18"/>
        </w:rPr>
        <w:t>La destinación y ejecución del beneficio neto o excedente neto durante el año fiscal siguiente. En este caso se utilizará el formato 2835 v.1</w:t>
      </w:r>
    </w:p>
    <w:p w:rsidR="004F4BAE" w:rsidRPr="00343767" w:rsidRDefault="004F4BAE" w:rsidP="004F4BAE">
      <w:pPr>
        <w:pStyle w:val="Prrafodelista"/>
        <w:numPr>
          <w:ilvl w:val="0"/>
          <w:numId w:val="3"/>
        </w:numPr>
        <w:contextualSpacing/>
        <w:jc w:val="both"/>
        <w:rPr>
          <w:rFonts w:ascii="Cambria" w:hAnsi="Cambria"/>
          <w:sz w:val="18"/>
          <w:szCs w:val="18"/>
        </w:rPr>
      </w:pPr>
      <w:r w:rsidRPr="00343767">
        <w:rPr>
          <w:rFonts w:ascii="Cambria" w:hAnsi="Cambria"/>
          <w:sz w:val="18"/>
          <w:szCs w:val="18"/>
        </w:rPr>
        <w:t>La destinación y ejecución del beneficio neto o excedente si el mismo se ejecuta a lo largo de más de un año. En ese caso se utilizará el formato 2834.v.1</w:t>
      </w:r>
    </w:p>
    <w:p w:rsidR="004F4BAE" w:rsidRPr="00343767" w:rsidRDefault="004F4BAE" w:rsidP="004F4BAE">
      <w:pPr>
        <w:jc w:val="both"/>
        <w:rPr>
          <w:rFonts w:ascii="Cambria" w:hAnsi="Cambria"/>
          <w:sz w:val="18"/>
          <w:szCs w:val="18"/>
        </w:rPr>
      </w:pPr>
    </w:p>
    <w:p w:rsidR="004F4BAE" w:rsidRPr="00343767" w:rsidRDefault="004F4BAE" w:rsidP="004F4BAE">
      <w:pPr>
        <w:pStyle w:val="Prrafodelista"/>
        <w:numPr>
          <w:ilvl w:val="0"/>
          <w:numId w:val="1"/>
        </w:numPr>
        <w:contextualSpacing/>
        <w:jc w:val="both"/>
        <w:rPr>
          <w:rFonts w:ascii="Cambria" w:hAnsi="Cambria"/>
          <w:sz w:val="18"/>
          <w:szCs w:val="18"/>
        </w:rPr>
      </w:pPr>
      <w:r w:rsidRPr="00343767">
        <w:rPr>
          <w:rFonts w:ascii="Cambria" w:hAnsi="Cambria"/>
          <w:sz w:val="18"/>
          <w:szCs w:val="18"/>
        </w:rPr>
        <w:t xml:space="preserve">En virtud de lo establecido en el </w:t>
      </w:r>
      <w:hyperlink r:id="rId15" w:anchor="1.3.1.9.10" w:history="1">
        <w:r w:rsidRPr="00343767">
          <w:rPr>
            <w:rStyle w:val="Hipervnculo"/>
            <w:rFonts w:ascii="Cambria" w:hAnsi="Cambria"/>
            <w:sz w:val="18"/>
            <w:szCs w:val="18"/>
          </w:rPr>
          <w:t>parágrafo del artículo 1.3.1.9.10 del DUT 1625 de 2016</w:t>
        </w:r>
      </w:hyperlink>
      <w:r w:rsidRPr="00343767">
        <w:rPr>
          <w:rFonts w:ascii="Cambria" w:hAnsi="Cambria"/>
          <w:sz w:val="18"/>
          <w:szCs w:val="18"/>
        </w:rPr>
        <w:t xml:space="preserve">, </w:t>
      </w:r>
      <w:r w:rsidR="00043511">
        <w:rPr>
          <w:rFonts w:ascii="Cambria" w:hAnsi="Cambria"/>
          <w:sz w:val="18"/>
          <w:szCs w:val="18"/>
        </w:rPr>
        <w:t xml:space="preserve">se dispuso, a través del 1.3.12.17 y el parágrafo 5 del 1.3.9.1.3 de la </w:t>
      </w:r>
      <w:proofErr w:type="spellStart"/>
      <w:r w:rsidR="00043511">
        <w:rPr>
          <w:rFonts w:ascii="Cambria" w:hAnsi="Cambria"/>
          <w:sz w:val="18"/>
          <w:szCs w:val="18"/>
        </w:rPr>
        <w:t>Resolucion</w:t>
      </w:r>
      <w:proofErr w:type="spellEnd"/>
      <w:r w:rsidR="00043511">
        <w:rPr>
          <w:rFonts w:ascii="Cambria" w:hAnsi="Cambria"/>
          <w:sz w:val="18"/>
          <w:szCs w:val="18"/>
        </w:rPr>
        <w:t xml:space="preserve"> 227 de septiembre de 2025, </w:t>
      </w:r>
      <w:r w:rsidRPr="00343767">
        <w:rPr>
          <w:rFonts w:ascii="Cambria" w:hAnsi="Cambria"/>
          <w:sz w:val="18"/>
          <w:szCs w:val="18"/>
        </w:rPr>
        <w:t xml:space="preserve">que a partir del año gravable 2025 todas las personas naturales y jurídicas que sean agentes de retención y/o </w:t>
      </w:r>
      <w:proofErr w:type="spellStart"/>
      <w:r w:rsidRPr="00343767">
        <w:rPr>
          <w:rFonts w:ascii="Cambria" w:hAnsi="Cambria"/>
          <w:sz w:val="18"/>
          <w:szCs w:val="18"/>
        </w:rPr>
        <w:t>auterretención</w:t>
      </w:r>
      <w:proofErr w:type="spellEnd"/>
      <w:r w:rsidRPr="00343767">
        <w:rPr>
          <w:rFonts w:ascii="Cambria" w:hAnsi="Cambria"/>
          <w:sz w:val="18"/>
          <w:szCs w:val="18"/>
        </w:rPr>
        <w:t xml:space="preserve"> en la fuente, cuando lleguen a ser ejecutoras de los dineros donados por organismos internacionales mencionados en el artículo 96 de la Ley 788 de diciembre de 2002, deberán elaborar el formato 2839 v.1 con la información sobre la forma en que se ejecutaron dichos dineros</w:t>
      </w:r>
    </w:p>
    <w:p w:rsidR="004F4BAE" w:rsidRDefault="004F4BAE"/>
    <w:p w:rsidR="00D31332" w:rsidRPr="00F237A8" w:rsidRDefault="00D31332" w:rsidP="00D31332">
      <w:pPr>
        <w:rPr>
          <w:color w:val="0070C0"/>
          <w:u w:val="single"/>
        </w:rPr>
      </w:pPr>
      <w:r w:rsidRPr="00F237A8">
        <w:rPr>
          <w:color w:val="0070C0"/>
          <w:u w:val="single"/>
        </w:rPr>
        <w:t>Nuevos ajustes que solo aplicarán para los reportes del año gravable 2026 y siguientes</w:t>
      </w:r>
    </w:p>
    <w:p w:rsidR="00D31332" w:rsidRPr="00D31332" w:rsidRDefault="00D31332" w:rsidP="00D31332">
      <w:pPr>
        <w:jc w:val="both"/>
        <w:rPr>
          <w:rFonts w:ascii="Cambria" w:hAnsi="Cambria"/>
          <w:sz w:val="18"/>
          <w:szCs w:val="18"/>
          <w:lang w:val="es-ES"/>
        </w:rPr>
      </w:pPr>
      <w:r w:rsidRPr="00D31332">
        <w:rPr>
          <w:rFonts w:ascii="Cambria" w:hAnsi="Cambria"/>
          <w:sz w:val="18"/>
          <w:szCs w:val="18"/>
        </w:rPr>
        <w:t xml:space="preserve">De acuerdo con los ajustes introducidos con la </w:t>
      </w:r>
      <w:proofErr w:type="spellStart"/>
      <w:r w:rsidRPr="00D31332">
        <w:rPr>
          <w:rFonts w:ascii="Cambria" w:hAnsi="Cambria"/>
          <w:sz w:val="18"/>
          <w:szCs w:val="18"/>
        </w:rPr>
        <w:t>Resoluci</w:t>
      </w:r>
      <w:r w:rsidRPr="00D31332">
        <w:rPr>
          <w:rFonts w:ascii="Cambria" w:hAnsi="Cambria"/>
          <w:sz w:val="18"/>
          <w:szCs w:val="18"/>
          <w:lang w:val="es-ES"/>
        </w:rPr>
        <w:t>ón</w:t>
      </w:r>
      <w:proofErr w:type="spellEnd"/>
      <w:r w:rsidRPr="00D31332">
        <w:rPr>
          <w:rFonts w:ascii="Cambria" w:hAnsi="Cambria"/>
          <w:sz w:val="18"/>
          <w:szCs w:val="18"/>
          <w:lang w:val="es-ES"/>
        </w:rPr>
        <w:t xml:space="preserve"> 233 de octubre 30 de 2025, para los reportes del año gravable 2026 y siguientes se deberán tomar en cuenta las siguientes novedades importantes:</w:t>
      </w:r>
    </w:p>
    <w:p w:rsidR="00D31332" w:rsidRPr="00D31332" w:rsidRDefault="00D31332" w:rsidP="00D31332">
      <w:pPr>
        <w:jc w:val="both"/>
        <w:rPr>
          <w:rFonts w:ascii="Cambria" w:hAnsi="Cambria"/>
          <w:sz w:val="18"/>
          <w:szCs w:val="18"/>
        </w:rPr>
      </w:pPr>
    </w:p>
    <w:p w:rsidR="00D31332" w:rsidRDefault="00D31332" w:rsidP="00D31332">
      <w:pPr>
        <w:pStyle w:val="Prrafodelista"/>
        <w:numPr>
          <w:ilvl w:val="0"/>
          <w:numId w:val="7"/>
        </w:numPr>
        <w:contextualSpacing/>
        <w:jc w:val="both"/>
        <w:rPr>
          <w:rFonts w:ascii="Cambria" w:hAnsi="Cambria"/>
          <w:sz w:val="18"/>
          <w:szCs w:val="18"/>
        </w:rPr>
      </w:pPr>
      <w:r w:rsidRPr="00D31332">
        <w:rPr>
          <w:rFonts w:ascii="Cambria" w:hAnsi="Cambria"/>
          <w:sz w:val="18"/>
          <w:szCs w:val="18"/>
        </w:rPr>
        <w:t xml:space="preserve">Se modificó el texto del </w:t>
      </w:r>
      <w:hyperlink r:id="rId16" w:anchor="1.3.5.2.1" w:history="1">
        <w:r w:rsidRPr="00D31332">
          <w:rPr>
            <w:rStyle w:val="Hipervnculo"/>
            <w:rFonts w:ascii="Cambria" w:hAnsi="Cambria"/>
            <w:sz w:val="18"/>
            <w:szCs w:val="18"/>
          </w:rPr>
          <w:t>artículo 1.3.5.2.1 de la Resolución Unificada 227 de septiembre 23 de 2025</w:t>
        </w:r>
      </w:hyperlink>
      <w:r w:rsidRPr="00D31332">
        <w:rPr>
          <w:rFonts w:ascii="Cambria" w:hAnsi="Cambria"/>
          <w:sz w:val="18"/>
          <w:szCs w:val="18"/>
        </w:rPr>
        <w:t xml:space="preserve"> y se agregó el parágrafo 8 al artículo 1.3.9.1.3 de la misma Resolución para establecer que a partir del año gravable 2026, al momento de efectuar el reporte de pagos o abonos en cuenta a terceros junto con sus </w:t>
      </w:r>
      <w:r w:rsidRPr="00D31332">
        <w:rPr>
          <w:rFonts w:ascii="Cambria" w:hAnsi="Cambria"/>
          <w:sz w:val="18"/>
          <w:szCs w:val="18"/>
        </w:rPr>
        <w:lastRenderedPageBreak/>
        <w:t>respectivas retenciones a título de renta y de IVA dentro del formato 1001, se tendrán que tomar en cuenta los siguientes ajustes:</w:t>
      </w:r>
    </w:p>
    <w:p w:rsidR="00D31332" w:rsidRPr="00D31332" w:rsidRDefault="00D31332" w:rsidP="00D31332">
      <w:pPr>
        <w:pStyle w:val="Prrafodelista"/>
        <w:ind w:left="720"/>
        <w:contextualSpacing/>
        <w:jc w:val="both"/>
        <w:rPr>
          <w:rFonts w:ascii="Cambria" w:hAnsi="Cambria"/>
          <w:sz w:val="18"/>
          <w:szCs w:val="18"/>
        </w:rPr>
      </w:pPr>
    </w:p>
    <w:p w:rsidR="00D31332" w:rsidRDefault="00D31332" w:rsidP="00D31332">
      <w:pPr>
        <w:pStyle w:val="Prrafodelista"/>
        <w:numPr>
          <w:ilvl w:val="0"/>
          <w:numId w:val="6"/>
        </w:numPr>
        <w:ind w:left="993"/>
        <w:contextualSpacing/>
        <w:jc w:val="both"/>
        <w:rPr>
          <w:rFonts w:ascii="Cambria" w:hAnsi="Cambria"/>
          <w:sz w:val="18"/>
          <w:szCs w:val="18"/>
        </w:rPr>
      </w:pPr>
      <w:r w:rsidRPr="00D31332">
        <w:rPr>
          <w:rFonts w:ascii="Cambria" w:hAnsi="Cambria"/>
          <w:sz w:val="18"/>
          <w:szCs w:val="18"/>
        </w:rPr>
        <w:t>El reporte ya no se hará en el formato 1001 versión 10 sino en el nuevo formato 1001 versión 11. Al respecto, no se puede entender por qué la DIAN indica que el nuevo formato es de versión “11” si en realidad incluye la misma cantidad de columnas que tenía la versión “10”. Además, el hecho de que dentro del formato se vayan a utilizar nuevos conceptos para reportar nuevas operaciones por pagos o abonos en cuenta a terceros en realidad no justificaba establecer una nueva versión para el formato</w:t>
      </w:r>
      <w:r>
        <w:rPr>
          <w:rFonts w:ascii="Cambria" w:hAnsi="Cambria"/>
          <w:sz w:val="18"/>
          <w:szCs w:val="18"/>
        </w:rPr>
        <w:t>.</w:t>
      </w:r>
    </w:p>
    <w:p w:rsidR="00D31332" w:rsidRPr="00D31332" w:rsidRDefault="00D31332" w:rsidP="00D31332">
      <w:pPr>
        <w:pStyle w:val="Prrafodelista"/>
        <w:ind w:left="993"/>
        <w:contextualSpacing/>
        <w:jc w:val="both"/>
        <w:rPr>
          <w:rFonts w:ascii="Cambria" w:hAnsi="Cambria"/>
          <w:sz w:val="18"/>
          <w:szCs w:val="18"/>
        </w:rPr>
      </w:pPr>
    </w:p>
    <w:p w:rsidR="00D31332" w:rsidRPr="00B671E9" w:rsidRDefault="00D31332" w:rsidP="00D31332">
      <w:pPr>
        <w:pStyle w:val="Prrafodelista"/>
        <w:numPr>
          <w:ilvl w:val="0"/>
          <w:numId w:val="6"/>
        </w:numPr>
        <w:ind w:left="993"/>
        <w:contextualSpacing/>
        <w:jc w:val="both"/>
        <w:rPr>
          <w:rStyle w:val="Hipervnculo"/>
          <w:rFonts w:ascii="Cambria" w:hAnsi="Cambria"/>
          <w:color w:val="auto"/>
          <w:sz w:val="18"/>
          <w:szCs w:val="18"/>
          <w:u w:val="none"/>
        </w:rPr>
      </w:pPr>
      <w:r w:rsidRPr="00D31332">
        <w:rPr>
          <w:rFonts w:ascii="Cambria" w:hAnsi="Cambria"/>
          <w:sz w:val="18"/>
          <w:szCs w:val="18"/>
        </w:rPr>
        <w:t xml:space="preserve">Se indica que se empezarán a utilizar por primera vez los nuevos conceptos 5104 y 5105 para reportar los pagos por bienes o servicios efectuados a terceros del exterior que tengan en Colombia </w:t>
      </w:r>
      <w:hyperlink r:id="rId17" w:history="1">
        <w:r w:rsidRPr="00D31332">
          <w:rPr>
            <w:rStyle w:val="Hipervnculo"/>
            <w:rFonts w:ascii="Cambria" w:hAnsi="Cambria"/>
            <w:sz w:val="18"/>
            <w:szCs w:val="18"/>
          </w:rPr>
          <w:t>“Presencia Económica Significativa” (ver artículo 20-3 del ET y los artículos 1.2.1.28.4.1 hasta 1.2.1.28.4.11 del DUT 1625 de 2016)</w:t>
        </w:r>
      </w:hyperlink>
    </w:p>
    <w:p w:rsidR="00B671E9" w:rsidRPr="00B671E9" w:rsidRDefault="00B671E9" w:rsidP="00B671E9">
      <w:pPr>
        <w:pStyle w:val="Prrafodelista"/>
        <w:rPr>
          <w:rFonts w:ascii="Cambria" w:hAnsi="Cambria"/>
          <w:sz w:val="18"/>
          <w:szCs w:val="18"/>
        </w:rPr>
      </w:pPr>
    </w:p>
    <w:p w:rsidR="00D31332" w:rsidRPr="00D31332" w:rsidRDefault="00D31332" w:rsidP="00D31332">
      <w:pPr>
        <w:pStyle w:val="Prrafodelista"/>
        <w:numPr>
          <w:ilvl w:val="0"/>
          <w:numId w:val="6"/>
        </w:numPr>
        <w:ind w:left="993"/>
        <w:contextualSpacing/>
        <w:jc w:val="both"/>
        <w:rPr>
          <w:rFonts w:ascii="Cambria" w:hAnsi="Cambria"/>
          <w:sz w:val="18"/>
          <w:szCs w:val="18"/>
        </w:rPr>
      </w:pPr>
      <w:r w:rsidRPr="00D31332">
        <w:rPr>
          <w:rFonts w:ascii="Cambria" w:hAnsi="Cambria"/>
          <w:sz w:val="18"/>
          <w:szCs w:val="18"/>
        </w:rPr>
        <w:t xml:space="preserve">Se indica que quienes hayan sido los mandantes en contratos de mandato, o los consorciados de un consorcio, o los partícipes ocultos de un contrato de cuentas en participación, etc., empezarán a usar por primera vez el nuevo concepto 5103 para reportar, en un solo registro, y con el </w:t>
      </w:r>
      <w:proofErr w:type="spellStart"/>
      <w:r w:rsidRPr="00D31332">
        <w:rPr>
          <w:rFonts w:ascii="Cambria" w:hAnsi="Cambria"/>
          <w:sz w:val="18"/>
          <w:szCs w:val="18"/>
        </w:rPr>
        <w:t>nit</w:t>
      </w:r>
      <w:proofErr w:type="spellEnd"/>
      <w:r w:rsidRPr="00D31332">
        <w:rPr>
          <w:rFonts w:ascii="Cambria" w:hAnsi="Cambria"/>
          <w:sz w:val="18"/>
          <w:szCs w:val="18"/>
        </w:rPr>
        <w:t xml:space="preserve"> del mandatario, o del consorcio, o del gestor del contrato, el valor total de los costos y gastos en que incurrieron por su participación en dichas figuras jurídicas. Además, el valor del IVA que se haya quedado como mayor valor de tales costos y gastos, o las retenciones que se hayan practicado sobre los mismos, no se tendrá que incluir dentro del mencionado registro que se hará con el concepto 5103. Lo anterior implicó que la misma Resolución </w:t>
      </w:r>
      <w:r w:rsidR="00B671E9">
        <w:rPr>
          <w:rFonts w:ascii="Cambria" w:hAnsi="Cambria"/>
          <w:sz w:val="18"/>
          <w:szCs w:val="18"/>
        </w:rPr>
        <w:t>233</w:t>
      </w:r>
      <w:r w:rsidRPr="00D31332">
        <w:rPr>
          <w:rFonts w:ascii="Cambria" w:hAnsi="Cambria"/>
          <w:sz w:val="18"/>
          <w:szCs w:val="18"/>
        </w:rPr>
        <w:t xml:space="preserve"> de octubre de 2025 modificara el parágrafo 1 del 1.3.5.12.1 de la Resolución Unificada 227 de septiembre de 2025 pues la instrucción anterior siempre indicaba que los mandantes, o los consorciados, o los </w:t>
      </w:r>
      <w:proofErr w:type="spellStart"/>
      <w:r w:rsidRPr="00D31332">
        <w:rPr>
          <w:rFonts w:ascii="Cambria" w:hAnsi="Cambria"/>
          <w:sz w:val="18"/>
          <w:szCs w:val="18"/>
        </w:rPr>
        <w:t>participes</w:t>
      </w:r>
      <w:proofErr w:type="spellEnd"/>
      <w:r w:rsidRPr="00D31332">
        <w:rPr>
          <w:rFonts w:ascii="Cambria" w:hAnsi="Cambria"/>
          <w:sz w:val="18"/>
          <w:szCs w:val="18"/>
        </w:rPr>
        <w:t xml:space="preserve"> ocultos nunca tenían que incluir en su formato 1001 los valores de los mencionados costos y gastos los cuales solo quedaban reportados detalladamente por el respectivo mandatario, o consorcio, o gestor dentro del formato especial 5247</w:t>
      </w:r>
    </w:p>
    <w:p w:rsidR="00D31332" w:rsidRPr="00D31332" w:rsidRDefault="00D31332" w:rsidP="00D31332">
      <w:pPr>
        <w:jc w:val="both"/>
        <w:rPr>
          <w:rFonts w:ascii="Cambria" w:hAnsi="Cambria"/>
          <w:sz w:val="18"/>
          <w:szCs w:val="18"/>
        </w:rPr>
      </w:pPr>
    </w:p>
    <w:p w:rsidR="00D31332" w:rsidRPr="00D31332" w:rsidRDefault="00D31332" w:rsidP="00D31332">
      <w:pPr>
        <w:pStyle w:val="Prrafodelista"/>
        <w:numPr>
          <w:ilvl w:val="0"/>
          <w:numId w:val="7"/>
        </w:numPr>
        <w:contextualSpacing/>
        <w:jc w:val="both"/>
        <w:rPr>
          <w:rFonts w:ascii="Cambria" w:hAnsi="Cambria"/>
          <w:sz w:val="18"/>
          <w:szCs w:val="18"/>
          <w:u w:val="single"/>
        </w:rPr>
      </w:pPr>
      <w:r w:rsidRPr="00D31332">
        <w:rPr>
          <w:rFonts w:ascii="Cambria" w:hAnsi="Cambria"/>
          <w:sz w:val="18"/>
          <w:szCs w:val="18"/>
        </w:rPr>
        <w:t xml:space="preserve">Se modificó el </w:t>
      </w:r>
      <w:hyperlink r:id="rId18" w:anchor="1.3.5.9.1" w:history="1">
        <w:r w:rsidRPr="00D31332">
          <w:rPr>
            <w:rStyle w:val="Hipervnculo"/>
            <w:rFonts w:ascii="Cambria" w:hAnsi="Cambria"/>
            <w:sz w:val="18"/>
            <w:szCs w:val="18"/>
          </w:rPr>
          <w:t>artículo el artículo 1.3.5.9.1 de la Resolución Unificada 227 de septiembre 23 de 2025</w:t>
        </w:r>
      </w:hyperlink>
      <w:r w:rsidRPr="00D31332">
        <w:rPr>
          <w:rFonts w:ascii="Cambria" w:hAnsi="Cambria"/>
          <w:sz w:val="18"/>
          <w:szCs w:val="18"/>
        </w:rPr>
        <w:t xml:space="preserve"> y se agregó el parágrafo 8 al artículo 1.3.9.1.3 de la misma Resolución para establecer que a partir del año gravable 2026 se deberán tomar en cuenta varios ajustes al momento de efectuar el reporte del formato 1647 con el detalle de ingresos recibidos para terceros. Se indica que el reporte se hará en la nueva versión 3 del formato 1647 la cual al final es igual a la versión 2 que se ven</w:t>
      </w:r>
      <w:proofErr w:type="spellStart"/>
      <w:r w:rsidRPr="00D31332">
        <w:rPr>
          <w:rFonts w:ascii="Cambria" w:hAnsi="Cambria"/>
          <w:sz w:val="18"/>
          <w:szCs w:val="18"/>
          <w:lang w:val="es-ES"/>
        </w:rPr>
        <w:t>ía</w:t>
      </w:r>
      <w:proofErr w:type="spellEnd"/>
      <w:r w:rsidRPr="00D31332">
        <w:rPr>
          <w:rFonts w:ascii="Cambria" w:hAnsi="Cambria"/>
          <w:sz w:val="18"/>
          <w:szCs w:val="18"/>
          <w:lang w:val="es-ES"/>
        </w:rPr>
        <w:t xml:space="preserve"> usando anteriormente </w:t>
      </w:r>
      <w:r w:rsidRPr="00D31332">
        <w:rPr>
          <w:rFonts w:ascii="Cambria" w:hAnsi="Cambria"/>
          <w:sz w:val="18"/>
          <w:szCs w:val="18"/>
        </w:rPr>
        <w:t xml:space="preserve">pues tiene las mismas columnas. Además, solo se deberá reportar a los terceros ubicados en Colombia (nacionales) de los cuales se recibieron los ingresos y ya no se debe incluir a los terceros ubicados en el exterior. De igual forma, el reporte solo incluirá los datos de terceros ubicados en Colombia (nacionales) a los cuales les pertenecía el ingreso y ya no se debe incluir a terceros ubicados en el exterior. Adicionalmente, se incluyó un nuevo parágrafo para indicar que si no se tiene la identificación del tercero del cual se recibió el ingreso, en tal caso se podrán reportar con el tipo de documento 43 y el número de identificación fiscal 222222222 y razón social “cuantías menores”. Es importante aclarar que la información sobre algunas operaciones de ingresos recibidos a favor de terceros ubicados en el exterior (caso por ejemplo de las activades que realizan en Colombia las empresas de telecomunicaciones que proveen servicios de internet, telefonía móvil y televisión de pago en virtud de los contratos de </w:t>
      </w:r>
      <w:r w:rsidRPr="00D31332">
        <w:rPr>
          <w:rFonts w:ascii="Cambria" w:hAnsi="Cambria"/>
          <w:i/>
          <w:iCs/>
          <w:sz w:val="18"/>
          <w:szCs w:val="18"/>
        </w:rPr>
        <w:t>Carrier Billings</w:t>
      </w:r>
      <w:r w:rsidRPr="00D31332">
        <w:rPr>
          <w:rFonts w:ascii="Cambria" w:hAnsi="Cambria"/>
          <w:sz w:val="18"/>
          <w:szCs w:val="18"/>
        </w:rPr>
        <w:t xml:space="preserve">, o caso de las Pasarelas de pago </w:t>
      </w:r>
      <w:r w:rsidRPr="00D31332">
        <w:rPr>
          <w:rFonts w:ascii="Cambria" w:hAnsi="Cambria"/>
          <w:i/>
          <w:iCs/>
          <w:sz w:val="18"/>
          <w:szCs w:val="18"/>
        </w:rPr>
        <w:t xml:space="preserve">Gateway </w:t>
      </w:r>
      <w:r w:rsidRPr="00D31332">
        <w:rPr>
          <w:rFonts w:ascii="Cambria" w:hAnsi="Cambria"/>
          <w:sz w:val="18"/>
          <w:szCs w:val="18"/>
        </w:rPr>
        <w:t>y Agregadores de pago en virtud de contratos de mandato para la intermediación como canal de pago), empezarán a reportarse a partir del año gravable 2026 y siguientes,  usando el nuevo formato 2854 versión 1 que se menciona en el nuevo artículo 1.3.12.22 que se agregó a la Resolución 227 de septiembre de 2025.</w:t>
      </w:r>
    </w:p>
    <w:p w:rsidR="00D31332" w:rsidRPr="00D31332" w:rsidRDefault="00D31332" w:rsidP="00D31332">
      <w:pPr>
        <w:pStyle w:val="Prrafodelista"/>
        <w:jc w:val="both"/>
        <w:rPr>
          <w:rFonts w:ascii="Cambria" w:hAnsi="Cambria"/>
          <w:sz w:val="18"/>
          <w:szCs w:val="18"/>
        </w:rPr>
      </w:pPr>
      <w:r w:rsidRPr="00D31332">
        <w:rPr>
          <w:rFonts w:ascii="Cambria" w:hAnsi="Cambria"/>
          <w:sz w:val="18"/>
          <w:szCs w:val="18"/>
        </w:rPr>
        <w:t xml:space="preserve"> </w:t>
      </w:r>
    </w:p>
    <w:p w:rsidR="00D31332" w:rsidRPr="00D31332" w:rsidRDefault="00B671E9" w:rsidP="00D31332">
      <w:pPr>
        <w:pStyle w:val="Prrafodelista"/>
        <w:numPr>
          <w:ilvl w:val="0"/>
          <w:numId w:val="7"/>
        </w:numPr>
        <w:contextualSpacing/>
        <w:jc w:val="both"/>
        <w:rPr>
          <w:rFonts w:ascii="Cambria" w:hAnsi="Cambria"/>
          <w:sz w:val="18"/>
          <w:szCs w:val="18"/>
        </w:rPr>
      </w:pPr>
      <w:r>
        <w:rPr>
          <w:rFonts w:ascii="Cambria" w:hAnsi="Cambria"/>
          <w:sz w:val="18"/>
          <w:szCs w:val="18"/>
        </w:rPr>
        <w:t>Se modificó</w:t>
      </w:r>
      <w:r w:rsidR="00D31332" w:rsidRPr="00D31332">
        <w:rPr>
          <w:rFonts w:ascii="Cambria" w:hAnsi="Cambria"/>
          <w:sz w:val="18"/>
          <w:szCs w:val="18"/>
        </w:rPr>
        <w:t xml:space="preserve"> el numeral 20 al artículo 1.3.1.1 de la Resolución 227 de septiembre 27 de 2025, se agregaron los nuevos artículos 1.3.12.18 y 1.3.12.19 a la misma Resolución, y se modificó el parágrafo 6 del artículo 1.3.9.1.3 de la misma Resolución, para establecer que la Agencia Presidencial de Cooperación internacional y la Unidad de Planeación Minero Energética, empezarán a reportar por el año gravable 2026 y siguientes, en los nuevos formato 2821 v.1 y 2822 v.2, la información sobre los certificados expedidos para hacer uso de la exoneración de impuestos a que se refiere el artículo 98 de la Ley 788 de 2002 (ver también el </w:t>
      </w:r>
      <w:hyperlink r:id="rId19" w:anchor="1.3.1.9.8" w:history="1">
        <w:r w:rsidR="00D31332" w:rsidRPr="00D31332">
          <w:rPr>
            <w:rStyle w:val="Hipervnculo"/>
            <w:rFonts w:ascii="Cambria" w:hAnsi="Cambria"/>
            <w:sz w:val="18"/>
            <w:szCs w:val="18"/>
          </w:rPr>
          <w:t>artículo 1.3.1.9.2 hasta 1.3.1.9.14 del DUT 1625 de 2016</w:t>
        </w:r>
      </w:hyperlink>
      <w:r w:rsidR="00D31332" w:rsidRPr="00D31332">
        <w:rPr>
          <w:rFonts w:ascii="Cambria" w:hAnsi="Cambria"/>
          <w:sz w:val="18"/>
          <w:szCs w:val="18"/>
        </w:rPr>
        <w:t xml:space="preserve">) y la información de las certificaciones para hacer uso de los beneficios tributarios de la Ley 1715 de 2014 (por inversión en fuentes no convencionales de energía </w:t>
      </w:r>
      <w:proofErr w:type="spellStart"/>
      <w:r w:rsidR="00D31332" w:rsidRPr="00D31332">
        <w:rPr>
          <w:rFonts w:ascii="Cambria" w:hAnsi="Cambria"/>
          <w:sz w:val="18"/>
          <w:szCs w:val="18"/>
        </w:rPr>
        <w:t>electríca</w:t>
      </w:r>
      <w:proofErr w:type="spellEnd"/>
      <w:r w:rsidR="00D31332" w:rsidRPr="00D31332">
        <w:rPr>
          <w:rFonts w:ascii="Cambria" w:hAnsi="Cambria"/>
          <w:sz w:val="18"/>
          <w:szCs w:val="18"/>
        </w:rPr>
        <w:t>, o en proyectos que califican como gestión eficiente de la energía, o en proyectos de hidrógeno verde, azul o blanco).</w:t>
      </w:r>
    </w:p>
    <w:p w:rsidR="00D31332" w:rsidRPr="00D31332" w:rsidRDefault="00D31332" w:rsidP="00D31332">
      <w:pPr>
        <w:pStyle w:val="Prrafodelista"/>
        <w:jc w:val="both"/>
        <w:rPr>
          <w:rFonts w:ascii="Cambria" w:hAnsi="Cambria"/>
          <w:sz w:val="18"/>
          <w:szCs w:val="18"/>
        </w:rPr>
      </w:pPr>
    </w:p>
    <w:p w:rsidR="00D31332" w:rsidRPr="00D31332" w:rsidRDefault="00D31332" w:rsidP="00D31332">
      <w:pPr>
        <w:pStyle w:val="Prrafodelista"/>
        <w:numPr>
          <w:ilvl w:val="0"/>
          <w:numId w:val="7"/>
        </w:numPr>
        <w:contextualSpacing/>
        <w:jc w:val="both"/>
        <w:rPr>
          <w:rFonts w:ascii="Cambria" w:hAnsi="Cambria"/>
          <w:sz w:val="18"/>
          <w:szCs w:val="18"/>
        </w:rPr>
      </w:pPr>
      <w:r w:rsidRPr="00D31332">
        <w:rPr>
          <w:rFonts w:ascii="Cambria" w:hAnsi="Cambria"/>
          <w:sz w:val="18"/>
          <w:szCs w:val="18"/>
        </w:rPr>
        <w:t xml:space="preserve">Se agregó el numeral 21 al artículo 1.3.1.1 de la Resolución 227 de septiembre 27 de 2025 y se agregó el artículo 1.3.12.21 al igual que el parágrafo 7 al artículo 1.3.9.1.3 de la misma Resolución, para establecer que los proveedores de servicios de activos digitales domiciliados en Colombia o con operaciones en el país, </w:t>
      </w:r>
      <w:r w:rsidRPr="00D31332">
        <w:rPr>
          <w:rFonts w:ascii="Cambria" w:hAnsi="Cambria"/>
          <w:sz w:val="18"/>
          <w:szCs w:val="18"/>
        </w:rPr>
        <w:lastRenderedPageBreak/>
        <w:t>empezarán a reportar por el año gravable 2026 y siguientes, en el nuevo formato 2856 v.1, los detalles sobre la información relacionada con las operaciones que realicen sus usuarios y que impliquen la conversión de moneda de curso legal a activos digitales o de activos digitales a moneda de curso legal.</w:t>
      </w:r>
    </w:p>
    <w:p w:rsidR="00D31332" w:rsidRPr="00D31332" w:rsidRDefault="00D31332" w:rsidP="00D31332">
      <w:pPr>
        <w:pStyle w:val="Prrafodelista"/>
        <w:jc w:val="both"/>
        <w:rPr>
          <w:rFonts w:ascii="Cambria" w:hAnsi="Cambria"/>
          <w:sz w:val="18"/>
          <w:szCs w:val="18"/>
        </w:rPr>
      </w:pPr>
    </w:p>
    <w:p w:rsidR="00D31332" w:rsidRPr="00D31332" w:rsidRDefault="00D31332" w:rsidP="00D31332">
      <w:pPr>
        <w:pStyle w:val="Prrafodelista"/>
        <w:numPr>
          <w:ilvl w:val="0"/>
          <w:numId w:val="7"/>
        </w:numPr>
        <w:contextualSpacing/>
        <w:jc w:val="both"/>
        <w:rPr>
          <w:rFonts w:ascii="Cambria" w:hAnsi="Cambria"/>
          <w:sz w:val="18"/>
          <w:szCs w:val="18"/>
        </w:rPr>
      </w:pPr>
      <w:r w:rsidRPr="00D31332">
        <w:rPr>
          <w:rFonts w:ascii="Cambria" w:hAnsi="Cambria"/>
          <w:sz w:val="18"/>
          <w:szCs w:val="18"/>
        </w:rPr>
        <w:t xml:space="preserve">Se agregó el nuevo artículo 1.3.12.20 a la Resolución 227 de septiembre de 2025 y se agregó el parágrafo 7 al artículo 1.3.9.1.3 de la misma Resolución para establecer que algunas personas naturales y jurídicas que se dediquen a algunas actividades especiales en las que se recaudan ingresos para terceros ubicados en el exterior (caso por ejemplo de las empresas de telecomunicaciones que proveen servicios de internet, telefonía móvil y televisión de pago en virtud de los contratos de </w:t>
      </w:r>
      <w:r w:rsidRPr="00D31332">
        <w:rPr>
          <w:rFonts w:ascii="Cambria" w:hAnsi="Cambria"/>
          <w:i/>
          <w:iCs/>
          <w:sz w:val="18"/>
          <w:szCs w:val="18"/>
        </w:rPr>
        <w:t>Carrier Billings</w:t>
      </w:r>
      <w:r w:rsidRPr="00D31332">
        <w:rPr>
          <w:rFonts w:ascii="Cambria" w:hAnsi="Cambria"/>
          <w:sz w:val="18"/>
          <w:szCs w:val="18"/>
        </w:rPr>
        <w:t xml:space="preserve">, o caso de las Pasarelas de pago </w:t>
      </w:r>
      <w:r w:rsidRPr="00D31332">
        <w:rPr>
          <w:rFonts w:ascii="Cambria" w:hAnsi="Cambria"/>
          <w:i/>
          <w:iCs/>
          <w:sz w:val="18"/>
          <w:szCs w:val="18"/>
        </w:rPr>
        <w:t xml:space="preserve">Gateway </w:t>
      </w:r>
      <w:r w:rsidRPr="00D31332">
        <w:rPr>
          <w:rFonts w:ascii="Cambria" w:hAnsi="Cambria"/>
          <w:sz w:val="18"/>
          <w:szCs w:val="18"/>
        </w:rPr>
        <w:t>y Agregadores de pago, en virtud de contratos de mandato para la intermediación como canal de pago), tendrán que empezar a elaborar a partir del año gravable 2026 el reporte del nuevo formato 2854 v.1 con el detalle de tales operaciones</w:t>
      </w:r>
    </w:p>
    <w:p w:rsidR="00D31332" w:rsidRPr="00D31332" w:rsidRDefault="00D31332" w:rsidP="00D31332">
      <w:pPr>
        <w:pStyle w:val="Prrafodelista"/>
        <w:jc w:val="both"/>
        <w:rPr>
          <w:rFonts w:ascii="Cambria" w:hAnsi="Cambria"/>
          <w:sz w:val="18"/>
          <w:szCs w:val="18"/>
        </w:rPr>
      </w:pPr>
    </w:p>
    <w:p w:rsidR="00D31332" w:rsidRPr="00D31332" w:rsidRDefault="00D31332" w:rsidP="00D31332">
      <w:pPr>
        <w:pStyle w:val="Prrafodelista"/>
        <w:numPr>
          <w:ilvl w:val="0"/>
          <w:numId w:val="7"/>
        </w:numPr>
        <w:contextualSpacing/>
        <w:jc w:val="both"/>
        <w:rPr>
          <w:rFonts w:ascii="Cambria" w:hAnsi="Cambria"/>
          <w:sz w:val="18"/>
          <w:szCs w:val="18"/>
        </w:rPr>
      </w:pPr>
      <w:r w:rsidRPr="00D31332">
        <w:rPr>
          <w:rFonts w:ascii="Cambria" w:hAnsi="Cambria"/>
          <w:sz w:val="18"/>
          <w:szCs w:val="18"/>
        </w:rPr>
        <w:t xml:space="preserve">Se agregó el nuevo artículo 1.3.12.22 a la Resolución 227 de septiembre de 2025 y se agregó el parágrafo 7 al artículo 1.3.9.1.3 de la misma Resolución para establecer que algunas personas naturales y jurídicas deparan reportar </w:t>
      </w:r>
      <w:r w:rsidR="00B671E9">
        <w:rPr>
          <w:rFonts w:ascii="Cambria" w:hAnsi="Cambria"/>
          <w:sz w:val="18"/>
          <w:szCs w:val="18"/>
        </w:rPr>
        <w:t xml:space="preserve"> a </w:t>
      </w:r>
      <w:r w:rsidRPr="00D31332">
        <w:rPr>
          <w:rFonts w:ascii="Cambria" w:hAnsi="Cambria"/>
          <w:sz w:val="18"/>
          <w:szCs w:val="18"/>
        </w:rPr>
        <w:t>pa</w:t>
      </w:r>
      <w:r w:rsidR="00B671E9">
        <w:rPr>
          <w:rFonts w:ascii="Cambria" w:hAnsi="Cambria"/>
          <w:sz w:val="18"/>
          <w:szCs w:val="18"/>
        </w:rPr>
        <w:t>r</w:t>
      </w:r>
      <w:r w:rsidRPr="00D31332">
        <w:rPr>
          <w:rFonts w:ascii="Cambria" w:hAnsi="Cambria"/>
          <w:sz w:val="18"/>
          <w:szCs w:val="18"/>
        </w:rPr>
        <w:t>tir del año gravable 2026, usando el nuevo formato 2857 v.1,  el valor total de las operaciones de ingreso o de egreso que hayan llevado a cabo con terceros ubicados en el exterior. Al respecto, es fácil prever que este formato al final terminará conteniendo una parte de la misma información que ya estaría reportada en los formatos 1007 (por ingresos recibidos) y 1001 (por pagos o abonos en cuenta)</w:t>
      </w:r>
    </w:p>
    <w:p w:rsidR="00D31332" w:rsidRPr="00D31332" w:rsidRDefault="00D31332" w:rsidP="00D31332">
      <w:pPr>
        <w:jc w:val="both"/>
        <w:rPr>
          <w:rFonts w:ascii="Cambria" w:hAnsi="Cambria"/>
          <w:sz w:val="18"/>
          <w:szCs w:val="18"/>
        </w:rPr>
      </w:pPr>
    </w:p>
    <w:sectPr w:rsidR="00D31332" w:rsidRPr="00D31332">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DE4103"/>
    <w:multiLevelType w:val="hybridMultilevel"/>
    <w:tmpl w:val="C90C47C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3390311"/>
    <w:multiLevelType w:val="hybridMultilevel"/>
    <w:tmpl w:val="11B25E66"/>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317A45A8"/>
    <w:multiLevelType w:val="hybridMultilevel"/>
    <w:tmpl w:val="EED03A2E"/>
    <w:lvl w:ilvl="0" w:tplc="25C8DFEC">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 w15:restartNumberingAfterBreak="0">
    <w:nsid w:val="44E01195"/>
    <w:multiLevelType w:val="hybridMultilevel"/>
    <w:tmpl w:val="C99E55F4"/>
    <w:lvl w:ilvl="0" w:tplc="9694148E">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4" w15:restartNumberingAfterBreak="0">
    <w:nsid w:val="4CF3480E"/>
    <w:multiLevelType w:val="hybridMultilevel"/>
    <w:tmpl w:val="37422EEE"/>
    <w:lvl w:ilvl="0" w:tplc="E9807D88">
      <w:start w:val="1"/>
      <w:numFmt w:val="lowerLetter"/>
      <w:lvlText w:val="%1)"/>
      <w:lvlJc w:val="left"/>
      <w:pPr>
        <w:ind w:left="1069" w:hanging="36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5" w15:restartNumberingAfterBreak="0">
    <w:nsid w:val="61A71EFF"/>
    <w:multiLevelType w:val="hybridMultilevel"/>
    <w:tmpl w:val="23EC814C"/>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CD268E3"/>
    <w:multiLevelType w:val="hybridMultilevel"/>
    <w:tmpl w:val="F5F68B22"/>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610087965">
    <w:abstractNumId w:val="1"/>
  </w:num>
  <w:num w:numId="2" w16cid:durableId="191262213">
    <w:abstractNumId w:val="2"/>
  </w:num>
  <w:num w:numId="3" w16cid:durableId="752631596">
    <w:abstractNumId w:val="3"/>
  </w:num>
  <w:num w:numId="4" w16cid:durableId="175584075">
    <w:abstractNumId w:val="4"/>
  </w:num>
  <w:num w:numId="5" w16cid:durableId="2057580523">
    <w:abstractNumId w:val="5"/>
  </w:num>
  <w:num w:numId="6" w16cid:durableId="629553878">
    <w:abstractNumId w:val="0"/>
  </w:num>
  <w:num w:numId="7" w16cid:durableId="18934228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7"/>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BAE"/>
    <w:rsid w:val="00043511"/>
    <w:rsid w:val="0015497C"/>
    <w:rsid w:val="001A19FD"/>
    <w:rsid w:val="00214907"/>
    <w:rsid w:val="004F4BAE"/>
    <w:rsid w:val="00521F5D"/>
    <w:rsid w:val="00573B77"/>
    <w:rsid w:val="006247AF"/>
    <w:rsid w:val="006D4CC9"/>
    <w:rsid w:val="008558A5"/>
    <w:rsid w:val="00860D45"/>
    <w:rsid w:val="00911157"/>
    <w:rsid w:val="00AD455E"/>
    <w:rsid w:val="00B671E9"/>
    <w:rsid w:val="00CA2005"/>
    <w:rsid w:val="00D31332"/>
    <w:rsid w:val="00D9310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4:docId w14:val="78BE8084"/>
  <w15:chartTrackingRefBased/>
  <w15:docId w15:val="{663DB21D-76B0-DB41-A31E-3260F759B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4BAE"/>
    <w:rPr>
      <w:rFonts w:ascii="Times New Roman" w:eastAsia="Times New Roman" w:hAnsi="Times New Roman" w:cs="Times New Roman"/>
      <w:kern w:val="0"/>
      <w:lang w:eastAsia="es-MX"/>
      <w14:ligatures w14:val="none"/>
    </w:rPr>
  </w:style>
  <w:style w:type="paragraph" w:styleId="Ttulo1">
    <w:name w:val="heading 1"/>
    <w:basedOn w:val="Normal"/>
    <w:next w:val="Normal"/>
    <w:link w:val="Ttulo1Car"/>
    <w:uiPriority w:val="9"/>
    <w:qFormat/>
    <w:rsid w:val="004F4BA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uiPriority w:val="99"/>
    <w:rsid w:val="004F4BAE"/>
    <w:rPr>
      <w:color w:val="0000FF"/>
      <w:u w:val="single"/>
    </w:rPr>
  </w:style>
  <w:style w:type="paragraph" w:styleId="Prrafodelista">
    <w:name w:val="List Paragraph"/>
    <w:basedOn w:val="Normal"/>
    <w:uiPriority w:val="34"/>
    <w:qFormat/>
    <w:rsid w:val="004F4BAE"/>
    <w:pPr>
      <w:ind w:left="708"/>
    </w:pPr>
    <w:rPr>
      <w:lang w:eastAsia="en-US"/>
    </w:rPr>
  </w:style>
  <w:style w:type="character" w:customStyle="1" w:styleId="Ttulo1Car">
    <w:name w:val="Título 1 Car"/>
    <w:basedOn w:val="Fuentedeprrafopredeter"/>
    <w:link w:val="Ttulo1"/>
    <w:uiPriority w:val="9"/>
    <w:rsid w:val="004F4BAE"/>
    <w:rPr>
      <w:rFonts w:asciiTheme="majorHAnsi" w:eastAsiaTheme="majorEastAsia" w:hAnsiTheme="majorHAnsi" w:cstheme="majorBidi"/>
      <w:color w:val="2F5496" w:themeColor="accent1" w:themeShade="BF"/>
      <w:kern w:val="0"/>
      <w:sz w:val="32"/>
      <w:szCs w:val="32"/>
      <w:lang w:eastAsia="es-MX"/>
      <w14:ligatures w14:val="none"/>
    </w:rPr>
  </w:style>
  <w:style w:type="character" w:customStyle="1" w:styleId="baj">
    <w:name w:val="b_aj"/>
    <w:basedOn w:val="Fuentedeprrafopredeter"/>
    <w:rsid w:val="009111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mograma.dian.gov.co/dian/compilacion/docs/estatuto_tributario.htm" TargetMode="External"/><Relationship Id="rId13" Type="http://schemas.openxmlformats.org/officeDocument/2006/relationships/hyperlink" Target="https://normograma.dian.gov.co/dian/compilacion/docs/decreto_1625_2016.htm" TargetMode="External"/><Relationship Id="rId18" Type="http://schemas.openxmlformats.org/officeDocument/2006/relationships/hyperlink" Target="https://normograma.dian.gov.co/dian/compilacion/docs/resolucion_dian_0227_2025.ht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normograma.dian.gov.co/dian/compilacion/docs/estatuto_tributario.htm" TargetMode="External"/><Relationship Id="rId12" Type="http://schemas.openxmlformats.org/officeDocument/2006/relationships/hyperlink" Target="https://normograma.dian.gov.co/dian/compilacion/docs/ley_1607_2012.htm" TargetMode="External"/><Relationship Id="rId17" Type="http://schemas.openxmlformats.org/officeDocument/2006/relationships/hyperlink" Target="https://actualicese.com/presencia-economica-significativa-nuevo-formulario-115-para-declaracion-anual/" TargetMode="External"/><Relationship Id="rId2" Type="http://schemas.openxmlformats.org/officeDocument/2006/relationships/styles" Target="styles.xml"/><Relationship Id="rId16" Type="http://schemas.openxmlformats.org/officeDocument/2006/relationships/hyperlink" Target="https://normograma.dian.gov.co/dian/compilacion/docs/resolucion_dian_0227_2025.ht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normograma.dian.gov.co/dian/compilacion/docs/estatuto_tributario.htm" TargetMode="External"/><Relationship Id="rId11" Type="http://schemas.openxmlformats.org/officeDocument/2006/relationships/hyperlink" Target="https://normograma.dian.gov.co/dian/compilacion/docs/estatuto_tributario.htm" TargetMode="External"/><Relationship Id="rId5" Type="http://schemas.openxmlformats.org/officeDocument/2006/relationships/hyperlink" Target="https://normograma.dian.gov.co/dian/compilacion/docs/resolucion_dian_0227_2025.htm" TargetMode="External"/><Relationship Id="rId15" Type="http://schemas.openxmlformats.org/officeDocument/2006/relationships/hyperlink" Target="https://normograma.dian.gov.co/dian/compilacion/docs/decreto_1625_2016.htm" TargetMode="External"/><Relationship Id="rId10" Type="http://schemas.openxmlformats.org/officeDocument/2006/relationships/hyperlink" Target="https://normograma.dian.gov.co/dian/compilacion/docs/estatuto_tributario.htm" TargetMode="External"/><Relationship Id="rId19" Type="http://schemas.openxmlformats.org/officeDocument/2006/relationships/hyperlink" Target="https://normograma.dian.gov.co/dian/compilacion/docs/decreto_1625_2016.htm" TargetMode="External"/><Relationship Id="rId4" Type="http://schemas.openxmlformats.org/officeDocument/2006/relationships/webSettings" Target="webSettings.xml"/><Relationship Id="rId9" Type="http://schemas.openxmlformats.org/officeDocument/2006/relationships/hyperlink" Target="https://normograma.dian.gov.co/dian/compilacion/docs/estatuto_tributario.htm" TargetMode="External"/><Relationship Id="rId14" Type="http://schemas.openxmlformats.org/officeDocument/2006/relationships/hyperlink" Target="https://normograma.dian.gov.co/dian/compilacion/docs/estatuto_tributario.ht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5397</Words>
  <Characters>29687</Characters>
  <Application>Microsoft Office Word</Application>
  <DocSecurity>0</DocSecurity>
  <Lines>247</Lines>
  <Paragraphs>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guevara</dc:creator>
  <cp:keywords/>
  <dc:description/>
  <cp:lastModifiedBy>diego guevara</cp:lastModifiedBy>
  <cp:revision>2</cp:revision>
  <dcterms:created xsi:type="dcterms:W3CDTF">2025-11-21T01:44:00Z</dcterms:created>
  <dcterms:modified xsi:type="dcterms:W3CDTF">2025-11-21T01:44:00Z</dcterms:modified>
</cp:coreProperties>
</file>